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47F" w:rsidRPr="005F04D9" w:rsidRDefault="00DF647F" w:rsidP="00DF647F">
      <w:pPr>
        <w:widowControl w:val="0"/>
        <w:tabs>
          <w:tab w:val="right" w:leader="underscore" w:pos="9639"/>
        </w:tabs>
        <w:spacing w:before="240"/>
        <w:jc w:val="center"/>
        <w:rPr>
          <w:b/>
          <w:bCs/>
          <w:sz w:val="24"/>
        </w:rPr>
      </w:pPr>
      <w:r w:rsidRPr="005F04D9">
        <w:rPr>
          <w:b/>
          <w:bCs/>
          <w:sz w:val="24"/>
        </w:rPr>
        <w:t>ОСНОВНАЯ ЧАСТЬ</w:t>
      </w:r>
    </w:p>
    <w:p w:rsidR="00DF647F" w:rsidRPr="005F04D9" w:rsidRDefault="00DF647F" w:rsidP="00DF647F">
      <w:pPr>
        <w:jc w:val="center"/>
        <w:rPr>
          <w:b/>
          <w:sz w:val="24"/>
        </w:rPr>
      </w:pPr>
      <w:r w:rsidRPr="005F04D9">
        <w:rPr>
          <w:b/>
          <w:sz w:val="24"/>
        </w:rPr>
        <w:t xml:space="preserve">Содержание рабочей программы </w:t>
      </w:r>
    </w:p>
    <w:p w:rsidR="00DF647F" w:rsidRPr="005F04D9" w:rsidRDefault="00DF647F" w:rsidP="00DF647F">
      <w:pPr>
        <w:jc w:val="center"/>
        <w:rPr>
          <w:bCs/>
          <w:sz w:val="24"/>
        </w:rPr>
      </w:pPr>
      <w:r>
        <w:rPr>
          <w:bCs/>
          <w:sz w:val="24"/>
        </w:rPr>
        <w:t>специальной дисциплины (Б1.В.ОД.2</w:t>
      </w:r>
      <w:r w:rsidRPr="005F04D9">
        <w:rPr>
          <w:bCs/>
          <w:sz w:val="24"/>
        </w:rPr>
        <w:t xml:space="preserve">) </w:t>
      </w:r>
    </w:p>
    <w:p w:rsidR="00DF647F" w:rsidRDefault="00DF647F" w:rsidP="00DF647F">
      <w:pPr>
        <w:jc w:val="center"/>
        <w:rPr>
          <w:bCs/>
          <w:sz w:val="24"/>
        </w:rPr>
      </w:pPr>
      <w:r w:rsidRPr="005F04D9">
        <w:rPr>
          <w:bCs/>
          <w:sz w:val="24"/>
        </w:rPr>
        <w:t>«</w:t>
      </w:r>
      <w:r>
        <w:rPr>
          <w:bCs/>
          <w:sz w:val="24"/>
        </w:rPr>
        <w:t>Клиническая фармакология</w:t>
      </w:r>
      <w:r w:rsidRPr="005F04D9">
        <w:rPr>
          <w:bCs/>
          <w:sz w:val="24"/>
        </w:rPr>
        <w:t>»</w:t>
      </w:r>
    </w:p>
    <w:p w:rsidR="00DF647F" w:rsidRDefault="00DF647F" w:rsidP="00DF647F">
      <w:pPr>
        <w:jc w:val="center"/>
        <w:rPr>
          <w:bCs/>
          <w:sz w:val="24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2448"/>
        <w:gridCol w:w="7655"/>
      </w:tblGrid>
      <w:tr w:rsidR="00DF647F" w:rsidRPr="00663557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F" w:rsidRPr="00663557" w:rsidRDefault="00DF647F" w:rsidP="00B57814">
            <w:pPr>
              <w:rPr>
                <w:b/>
                <w:bCs/>
              </w:rPr>
            </w:pPr>
            <w:r w:rsidRPr="00663557">
              <w:rPr>
                <w:b/>
                <w:bCs/>
              </w:rPr>
              <w:t>Б</w:t>
            </w:r>
            <w:r>
              <w:rPr>
                <w:b/>
                <w:bCs/>
              </w:rPr>
              <w:t>1</w:t>
            </w:r>
            <w:r w:rsidRPr="00663557">
              <w:rPr>
                <w:b/>
                <w:bCs/>
              </w:rPr>
              <w:t>.В.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F" w:rsidRPr="00663557" w:rsidRDefault="00DF647F" w:rsidP="00B57814">
            <w:pPr>
              <w:rPr>
                <w:b/>
                <w:bCs/>
              </w:rPr>
            </w:pPr>
            <w:r w:rsidRPr="00663557">
              <w:rPr>
                <w:b/>
                <w:bCs/>
              </w:rPr>
              <w:t>В</w:t>
            </w:r>
            <w:r>
              <w:rPr>
                <w:b/>
                <w:bCs/>
              </w:rPr>
              <w:t>АРИАТИВНАЯ ЧАСТЬ</w:t>
            </w:r>
          </w:p>
        </w:tc>
      </w:tr>
      <w:tr w:rsidR="00DF647F" w:rsidRPr="00663557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F" w:rsidRPr="00663557" w:rsidRDefault="00DF647F" w:rsidP="00B57814">
            <w:pPr>
              <w:rPr>
                <w:b/>
                <w:bCs/>
              </w:rPr>
            </w:pPr>
            <w:r>
              <w:rPr>
                <w:b/>
                <w:bCs/>
              </w:rPr>
              <w:t>Б1</w:t>
            </w:r>
            <w:r w:rsidRPr="00663557">
              <w:rPr>
                <w:b/>
                <w:bCs/>
              </w:rPr>
              <w:t>.В.ОД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F" w:rsidRPr="00663557" w:rsidRDefault="00DF647F" w:rsidP="00B57814">
            <w:pPr>
              <w:rPr>
                <w:b/>
                <w:bCs/>
              </w:rPr>
            </w:pPr>
            <w:r w:rsidRPr="00663557">
              <w:rPr>
                <w:b/>
                <w:bCs/>
              </w:rPr>
              <w:t>О</w:t>
            </w:r>
            <w:r>
              <w:rPr>
                <w:b/>
                <w:bCs/>
              </w:rPr>
              <w:t>БЯЗАТЕЛЬНЫЕ ДИСЦИПЛИНЫ</w:t>
            </w:r>
          </w:p>
        </w:tc>
      </w:tr>
      <w:tr w:rsidR="00DF647F" w:rsidRPr="004104E1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F" w:rsidRPr="00DA5A7F" w:rsidRDefault="00DF647F" w:rsidP="00B57814">
            <w:pPr>
              <w:rPr>
                <w:b/>
                <w:bCs/>
              </w:rPr>
            </w:pPr>
            <w:r>
              <w:rPr>
                <w:b/>
                <w:bCs/>
              </w:rPr>
              <w:t>Б1</w:t>
            </w:r>
            <w:r w:rsidRPr="00DA5A7F">
              <w:rPr>
                <w:b/>
                <w:bCs/>
              </w:rPr>
              <w:t>.В.ОД</w:t>
            </w:r>
            <w:r>
              <w:rPr>
                <w:b/>
                <w:bCs/>
              </w:rPr>
              <w:t>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F" w:rsidRPr="004104E1" w:rsidRDefault="00DF647F" w:rsidP="00B57814">
            <w:pPr>
              <w:rPr>
                <w:b/>
                <w:bCs/>
                <w:sz w:val="24"/>
              </w:rPr>
            </w:pPr>
            <w:r w:rsidRPr="004104E1">
              <w:rPr>
                <w:b/>
                <w:bCs/>
                <w:sz w:val="24"/>
              </w:rPr>
              <w:t>Клиническая фармакология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</w:rPr>
              <w:t>Б1.В.ОД2.1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b/>
                <w:bCs/>
                <w:color w:val="000000"/>
                <w:sz w:val="22"/>
              </w:rPr>
            </w:pPr>
            <w:r w:rsidRPr="00BC6414">
              <w:rPr>
                <w:b/>
                <w:bCs/>
                <w:color w:val="000000"/>
                <w:sz w:val="22"/>
                <w:szCs w:val="22"/>
              </w:rPr>
              <w:t>Общие вопросы клинической фармакологии в гастроэнтерологии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6A439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6A4394">
              <w:t>.1.</w:t>
            </w:r>
            <w: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Предмет и задачи клинической фармакологии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6A4394">
              <w:t>.1.</w:t>
            </w:r>
            <w: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Клиническая фармакокинетика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6A4394">
              <w:t>.1.</w:t>
            </w:r>
            <w: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Фармакодинамика лекарственных средств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6A4394">
              <w:t>.1.</w:t>
            </w:r>
            <w: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Взаимодействие лекарств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6A4394">
              <w:t>.1.</w:t>
            </w:r>
            <w: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Влияние факторов внешней среды на метаболизм лекарственных средств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</w:rPr>
              <w:t>Б1.В.ОД2.2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b/>
                <w:bCs/>
                <w:color w:val="000000"/>
                <w:sz w:val="22"/>
              </w:rPr>
            </w:pPr>
            <w:r w:rsidRPr="00BC6414">
              <w:rPr>
                <w:b/>
                <w:bCs/>
                <w:color w:val="000000"/>
                <w:sz w:val="22"/>
                <w:szCs w:val="22"/>
              </w:rPr>
              <w:t>Клиническая фармакология и тактика применения медикаментозных средств при болезнях органов пищеварения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5A04C6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Седативные и транквилизирующие средства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Классификация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Показания к применению в гастроэнтерологии и тактика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Осложнения терапии данными препаратами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Антидепрессанты и анксиолитики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Анальгезирующие средства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Классификация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Показания и противопоказания к назначению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Миотропные спазмолитики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5A04C6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Классификация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Показания, противопоказания и тактика применения в гастроэнтерологии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Нейротропные спазмолитики (М-холино-блокаторы)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Классификация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Клиническая фармакология холинолитических средств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Клиническая фармакология и тактика применения адреноблокирующих средств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Ганглиоблокаторы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Классификация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Показания, противопоказания и тактика применения в гастроэнтерологии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5A04C6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Прокинетики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Показания, противопоказания и тактика применения в гастроэнтерологии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Клиническая фармакология антацидов и антипептических средств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Классификация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Механизмы действия и тактика применения в гастроэнтерологии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Побочные действия антацидов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Средства с гастропротективным действием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Механизмы действия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Показания к применению, побочные эффекты</w:t>
            </w:r>
          </w:p>
        </w:tc>
      </w:tr>
    </w:tbl>
    <w:p w:rsidR="00DF647F" w:rsidRPr="005F04D9" w:rsidRDefault="00DF647F" w:rsidP="00DF647F">
      <w:pPr>
        <w:jc w:val="center"/>
        <w:rPr>
          <w:b/>
          <w:sz w:val="24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2448"/>
        <w:gridCol w:w="7655"/>
      </w:tblGrid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5A04C6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Средства, влияющие на процессы регенерации, биогенные стимуляторы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Классификация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lastRenderedPageBreak/>
              <w:t>Б1.В.ОД2</w:t>
            </w:r>
            <w:r w:rsidRPr="005A04C6">
              <w:t>.2.</w:t>
            </w:r>
            <w:r>
              <w:t>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Показания, противопоказания и тактика применения в гастроэнтерологии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Н2-гистаминоблокаторы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Классификация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Тактика применения и возможные осложнения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Ингибиторы К-АТФ-азы протонного насоса париетальных клеток слизистой желудка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35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Тактика применения в гастроэнтерологии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36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Синтетические аналоги простагландинов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5A04C6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37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Применение в гастроэнтерологии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38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Желчегонные средства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39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Классификация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40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Клиническая фармакология желчегонных средств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41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Показания, противопоказания и тактика применения в гастроэнтерологии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42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Холелитолитические средства. Показания, тактика применения, осложнения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43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Рвотные и противорвотные средства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44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Классификация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45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Показания, противопоказания и особенности лечения болезней органов пищеварения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5A04C6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46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Ферментные препараты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47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Тактика лечения болезней желудка, поджелудочной железы и кишечника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48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Препараты, обладающие антиферментной активностью, показания и лечебная тактика их применения в гастроэнтерологии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49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Слабительные средства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50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Классификация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51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Показания, противопоказания к назначению, тактика лечения запоров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52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Осложнения в терапии слабительными средствами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53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Глюкокортикостероиды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54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Механизм действия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5A04C6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55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Показания, противопоказания и тактика применения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56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Осложнения глюкокортикостероидной терапии, их профилактика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57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Минералокортикоидные гормоны коры надпочечников, их аналоги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58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Механизм действия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59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Показания, противопоказания и тактика применения. Осложнения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60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Несистемные стероиды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61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Применение в гастроэнтерологии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62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Препараты – синтетические аналоги гормонов пищеварительного тракта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63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Применение в гастроэнтерологии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5A04C6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64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Иммунодепрессанты и цитостатики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65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Механизм действия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66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Показания, противопоказания и тактика применения в гастроэнтерологии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67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Осложнения и меры их профилактики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68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Анаболические средства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69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Анаболические стероиды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70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Анаболические нестероидные вещества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71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Иммуномодуляторы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72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Антигистаминные средства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5A04C6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73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Классификация</w:t>
            </w:r>
          </w:p>
        </w:tc>
      </w:tr>
    </w:tbl>
    <w:p w:rsidR="00DF647F" w:rsidRPr="005F04D9" w:rsidRDefault="00DF647F" w:rsidP="00DF647F">
      <w:pPr>
        <w:jc w:val="center"/>
        <w:rPr>
          <w:sz w:val="24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2448"/>
        <w:gridCol w:w="7655"/>
      </w:tblGrid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lastRenderedPageBreak/>
              <w:t>Б1.В.ОД2</w:t>
            </w:r>
            <w:r w:rsidRPr="005A04C6">
              <w:t>.2.</w:t>
            </w:r>
            <w:r>
              <w:t>74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Тактика применения в гастроэнтерологии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75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Клиническая фармакология средств, влияющих на систему гемостаза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76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Классификация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77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Тактика применения гемостатических средств в гастроэнтерологии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78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Осложнения гемостатической терапии и их предупреждение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79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Средства, применяемые при лечении анемий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80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Тактика лечения железодефицитных анемий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81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Тактика лечения В12-дефицитных анемий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5A04C6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82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Препараты гепатопротективного действия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83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Механизм действия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84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Показания к применению и тактика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85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Средства для лечения печеночной энцефалопатии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86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Механизм действия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87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Показания и тактика применения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88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Гексозы, препараты крови и плазмы, аминокислоты и гидролизаты белков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89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Механизм действия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90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Показания, тактика применения при заболеваниях органов пищеварения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5A04C6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91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Осложнения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</w:t>
            </w:r>
            <w:r w:rsidRPr="005A04C6">
              <w:t>В.ОД</w:t>
            </w:r>
            <w:r>
              <w:t>2</w:t>
            </w:r>
            <w:r w:rsidRPr="005A04C6">
              <w:t>.2.</w:t>
            </w:r>
            <w:r>
              <w:t>92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Витамины и их аналоги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93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Показания применения в гастроэнтерологии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94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Механизм действия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95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Антивитамины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96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Липотропные средства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97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Показания к назначению при заболеваниях органов пищеварения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98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Комплексообразующие соединения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99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Показания, тактика применения в гастроэнтерологии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5A04C6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100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Мочегонные средства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101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Классификация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102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Особенности тактики применения в гастроэнтерологии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103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Побочные действия, их профилактика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104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Антибактериальные средства в гастроэнтерологии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105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Классификация антибиотиков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106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Показания к назначению антибиотиков, тактика лечения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107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Побочные действия антибиотиков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108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Противогрибковые средства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5A04C6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109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Сульфаниламидные препараты короткого и пролонгированного действия, механизм их действия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110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Особенности применения сульфаниламидных препаратов при заболеваниях органов пищеварения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111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Клиническая фармакология и тактика применения в гастроэнтерологии производных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112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Налидиксовой кислоты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113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Нитрофурана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114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Метронидазола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115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Оксихинолина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116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Фторхинолона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117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Биологические препараты (пре- и пробиотики, синбиотики)</w:t>
            </w:r>
          </w:p>
        </w:tc>
      </w:tr>
      <w:tr w:rsidR="00DF647F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5A04C6" w:rsidRDefault="00DF647F" w:rsidP="00B57814">
            <w:pPr>
              <w:ind w:left="34"/>
              <w:rPr>
                <w:color w:val="000000"/>
                <w:sz w:val="22"/>
              </w:rPr>
            </w:pPr>
            <w:r>
              <w:t>Б1.В.ОД2</w:t>
            </w:r>
            <w:r w:rsidRPr="005A04C6">
              <w:t>.2.</w:t>
            </w:r>
            <w:r>
              <w:t>118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 xml:space="preserve">Показания и тактика лечения заболеваний кишечника, осложненных </w:t>
            </w:r>
            <w:r w:rsidRPr="00BC6414">
              <w:rPr>
                <w:color w:val="000000"/>
                <w:sz w:val="22"/>
                <w:szCs w:val="22"/>
              </w:rPr>
              <w:lastRenderedPageBreak/>
              <w:t>дисбактериозом кишечника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lastRenderedPageBreak/>
              <w:t>Б1.В.ОД2</w:t>
            </w:r>
            <w:r w:rsidRPr="005A04C6">
              <w:t>.2.</w:t>
            </w:r>
            <w:r>
              <w:t>119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Азосоединения салициловой кислоты с сульфаниламидами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5A04C6">
              <w:t>.2.</w:t>
            </w:r>
            <w:r>
              <w:t>120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Показания к применению, тактика лечения, осложнения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5A04C6">
              <w:t>.2.</w:t>
            </w:r>
            <w:r>
              <w:t>121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Препараты 5-аминосалициловой кислоты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5A04C6">
              <w:t>.2.</w:t>
            </w:r>
            <w:r>
              <w:t>122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Применение в гастроэнтерологии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5A04C6">
              <w:t>.2.</w:t>
            </w:r>
            <w:r>
              <w:t>123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Противовирусные препараты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5A04C6">
              <w:t>.2.</w:t>
            </w:r>
            <w:r>
              <w:t>124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Тактика применения в гастроэнтерологии, показания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5A04C6">
              <w:t>.2.</w:t>
            </w:r>
            <w:r>
              <w:t>125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Энтеросорбенты. Показания к применению, тактика лечения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5A04C6">
              <w:t>.2.</w:t>
            </w:r>
            <w:r>
              <w:t>126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Противодиарейные средства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5A04C6">
              <w:t>.2.</w:t>
            </w:r>
            <w:r>
              <w:t>127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Средства, уменьшающие метеоризм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5A04C6">
              <w:t>.2.</w:t>
            </w:r>
            <w:r>
              <w:t>128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Нутрицевтики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5A04C6">
              <w:t>.2.</w:t>
            </w:r>
            <w:r>
              <w:t>129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Средства для лечения геморроя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 w:rsidRPr="00DF647F">
              <w:t>Б1.</w:t>
            </w:r>
            <w:r>
              <w:t>В.ОД2</w:t>
            </w:r>
            <w:r w:rsidRPr="00DF647F">
              <w:t>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rPr>
                <w:color w:val="000000"/>
                <w:sz w:val="22"/>
              </w:rPr>
            </w:pPr>
            <w:r w:rsidRPr="00DF647F">
              <w:rPr>
                <w:color w:val="000000"/>
                <w:sz w:val="22"/>
                <w:szCs w:val="22"/>
              </w:rPr>
              <w:t>Фитотерапия, характеристика и тактика применения лекарственных растений при заболеваниях органов пищеварения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76473C">
              <w:t>.3.</w:t>
            </w:r>
            <w: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Обволакивающие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76473C">
              <w:t>.3.</w:t>
            </w:r>
            <w: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Вяжущие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76473C">
              <w:t>.3.</w:t>
            </w:r>
            <w: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Противовоспалительные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76473C">
              <w:t>.3.</w:t>
            </w:r>
            <w: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Болеутоляющие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76473C">
              <w:t>.3.</w:t>
            </w:r>
            <w: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Повышающие секрецию и кислотность желудочного сока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76473C">
              <w:t>.3.</w:t>
            </w:r>
            <w: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Усиливающие регенерацию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76473C">
              <w:t>.3.</w:t>
            </w:r>
            <w: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Желчегонные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76473C">
              <w:t>.3.</w:t>
            </w:r>
            <w: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Кровоостанавливающие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76473C">
              <w:t>.3.</w:t>
            </w:r>
            <w: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Слабительные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76473C">
              <w:t>.3.</w:t>
            </w:r>
            <w: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Противоглистные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 w:rsidRPr="00DF647F">
              <w:t>Б1.</w:t>
            </w:r>
            <w:r>
              <w:t>В.ОД2</w:t>
            </w:r>
            <w:r w:rsidRPr="00DF647F">
              <w:t>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rPr>
                <w:color w:val="000000"/>
                <w:sz w:val="22"/>
              </w:rPr>
            </w:pPr>
            <w:r w:rsidRPr="00DF647F">
              <w:rPr>
                <w:color w:val="000000"/>
                <w:sz w:val="22"/>
                <w:szCs w:val="22"/>
              </w:rPr>
              <w:t>Апитерапия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D57D8E">
              <w:t>.4.1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DF647F">
            <w:pPr>
              <w:pStyle w:val="1"/>
              <w:numPr>
                <w:ilvl w:val="0"/>
                <w:numId w:val="1"/>
              </w:numPr>
              <w:ind w:left="34"/>
              <w:rPr>
                <w:color w:val="000000"/>
                <w:sz w:val="22"/>
                <w:szCs w:val="22"/>
                <w:lang w:eastAsia="ru-RU"/>
              </w:rPr>
            </w:pPr>
            <w:r w:rsidRPr="00DF647F">
              <w:rPr>
                <w:color w:val="000000"/>
                <w:sz w:val="22"/>
                <w:szCs w:val="22"/>
                <w:lang w:eastAsia="ru-RU"/>
              </w:rPr>
              <w:t>Продукты пчеловодства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D57D8E">
              <w:t>.4.2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DF647F">
            <w:pPr>
              <w:pStyle w:val="1"/>
              <w:numPr>
                <w:ilvl w:val="0"/>
                <w:numId w:val="1"/>
              </w:numPr>
              <w:ind w:left="34"/>
              <w:rPr>
                <w:color w:val="000000"/>
                <w:sz w:val="22"/>
                <w:szCs w:val="22"/>
                <w:lang w:eastAsia="ru-RU"/>
              </w:rPr>
            </w:pPr>
            <w:r w:rsidRPr="00DF647F">
              <w:rPr>
                <w:color w:val="000000"/>
                <w:sz w:val="22"/>
                <w:szCs w:val="22"/>
                <w:lang w:eastAsia="ru-RU"/>
              </w:rPr>
              <w:t>Механизмы лечебного действия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D57D8E">
              <w:t>.4.3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DF647F">
            <w:pPr>
              <w:pStyle w:val="1"/>
              <w:numPr>
                <w:ilvl w:val="0"/>
                <w:numId w:val="1"/>
              </w:numPr>
              <w:ind w:left="34"/>
              <w:rPr>
                <w:color w:val="000000"/>
                <w:sz w:val="22"/>
                <w:szCs w:val="22"/>
                <w:lang w:eastAsia="ru-RU"/>
              </w:rPr>
            </w:pPr>
            <w:r w:rsidRPr="00DF647F">
              <w:rPr>
                <w:color w:val="000000"/>
                <w:sz w:val="22"/>
                <w:szCs w:val="22"/>
                <w:lang w:eastAsia="ru-RU"/>
              </w:rPr>
              <w:t>Применение продуктов пчеловодства в гастроэнтерологии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 w:rsidRPr="00DF647F">
              <w:t>Б1.</w:t>
            </w:r>
            <w:r>
              <w:t>В.ОД2</w:t>
            </w:r>
            <w:r w:rsidRPr="00DF647F">
              <w:t>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rPr>
                <w:color w:val="000000"/>
                <w:sz w:val="22"/>
              </w:rPr>
            </w:pPr>
            <w:r w:rsidRPr="00DF647F">
              <w:rPr>
                <w:color w:val="000000"/>
                <w:sz w:val="22"/>
                <w:szCs w:val="22"/>
              </w:rPr>
              <w:t>Сочетание фармакотерапии с другими видами лечения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DF283C">
              <w:t>.5.1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Диетотерапией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DF283C">
              <w:t>.5.2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Фитотерапией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DF283C">
              <w:t>.5.3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Физиотерапией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DF283C">
              <w:t>.5.4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Санаторно-куротным лечением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DF283C">
              <w:t>.5.5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Рефлексотерапией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 w:rsidRPr="00DF647F">
              <w:t>Б1.</w:t>
            </w:r>
            <w:r>
              <w:t>В.ОД2</w:t>
            </w:r>
            <w:r w:rsidRPr="00DF647F">
              <w:t>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rPr>
                <w:color w:val="000000"/>
                <w:sz w:val="22"/>
              </w:rPr>
            </w:pPr>
            <w:r w:rsidRPr="00DF647F">
              <w:rPr>
                <w:color w:val="000000"/>
                <w:sz w:val="22"/>
                <w:szCs w:val="22"/>
              </w:rPr>
              <w:t>Побочные действия лекарств при лечении болезней органов пищеварения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AE06DA">
              <w:t>.6.</w:t>
            </w:r>
            <w: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Виды побочного действия лекарств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AE06DA">
              <w:t>.6.</w:t>
            </w:r>
            <w: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Особенности осложнений лекарственной терапии аллергической природы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AE06DA">
              <w:t>.6.</w:t>
            </w:r>
            <w: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Диагностика и меры профилактики лекарственной аллергии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AE06DA">
              <w:t>.6.</w:t>
            </w:r>
            <w: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AE06DA">
              <w:t>.6.</w:t>
            </w:r>
            <w: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Анафилактический шок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AE06DA">
              <w:t>.6.</w:t>
            </w:r>
            <w: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Клинические варианты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AE06DA">
              <w:t>.6.</w:t>
            </w:r>
            <w: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Тактика ведения больного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AE06DA">
              <w:t>.6.</w:t>
            </w:r>
            <w: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Профилактика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AE06DA">
              <w:t>.6.</w:t>
            </w:r>
            <w: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Острые токсико-аллергические реакции на медикаменты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AE06DA">
              <w:t>.6.</w:t>
            </w:r>
            <w: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Классификация, степени тяжести</w:t>
            </w:r>
          </w:p>
        </w:tc>
      </w:tr>
      <w:tr w:rsidR="00DF647F" w:rsidRPr="00BC6414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>
              <w:t>Б1.В.ОД2</w:t>
            </w:r>
            <w:r w:rsidRPr="00AE06DA">
              <w:t>.6.</w:t>
            </w:r>
            <w: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BC6414" w:rsidRDefault="00DF647F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Тактика ведения больного</w:t>
            </w:r>
          </w:p>
        </w:tc>
      </w:tr>
      <w:tr w:rsidR="00DF647F" w:rsidRPr="0082259D" w:rsidTr="00DF64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ind w:left="34"/>
            </w:pPr>
            <w:r w:rsidRPr="00DF647F">
              <w:t>Б1.</w:t>
            </w:r>
            <w:r>
              <w:t>В.ОД2</w:t>
            </w:r>
            <w:r w:rsidRPr="00DF647F">
              <w:t>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F" w:rsidRPr="00DF647F" w:rsidRDefault="00DF647F" w:rsidP="00B57814">
            <w:pPr>
              <w:rPr>
                <w:color w:val="000000"/>
                <w:sz w:val="22"/>
              </w:rPr>
            </w:pPr>
            <w:r w:rsidRPr="00DF647F">
              <w:rPr>
                <w:color w:val="000000"/>
                <w:sz w:val="22"/>
                <w:szCs w:val="22"/>
              </w:rPr>
              <w:t>Общие вопросы фармакологии</w:t>
            </w:r>
          </w:p>
        </w:tc>
      </w:tr>
    </w:tbl>
    <w:p w:rsidR="00B7328A" w:rsidRPr="002E2BA4" w:rsidRDefault="00B7328A" w:rsidP="00B7328A">
      <w:pPr>
        <w:autoSpaceDN w:val="0"/>
        <w:adjustRightInd w:val="0"/>
        <w:ind w:firstLine="709"/>
        <w:rPr>
          <w:b/>
          <w:bCs/>
          <w:i/>
          <w:iCs/>
          <w:sz w:val="24"/>
        </w:rPr>
      </w:pPr>
      <w:r w:rsidRPr="002E2BA4">
        <w:rPr>
          <w:b/>
          <w:bCs/>
          <w:i/>
          <w:iCs/>
          <w:sz w:val="24"/>
        </w:rPr>
        <w:lastRenderedPageBreak/>
        <w:t>ВИДЫ ВНЕАУДИТОРНОЙ САМОСТОЯТЕЛЬНОЙ РАБОТЫ:</w:t>
      </w:r>
    </w:p>
    <w:p w:rsidR="00B7328A" w:rsidRPr="002E2BA4" w:rsidRDefault="00B7328A" w:rsidP="00B7328A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 xml:space="preserve">Подготовка к аудиторным занятиям (проработка учебного материала по конспектам лекций и учебной литературе). </w:t>
      </w:r>
    </w:p>
    <w:p w:rsidR="00B7328A" w:rsidRPr="002E2BA4" w:rsidRDefault="00B7328A" w:rsidP="00B7328A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>Работа с тестами и вопросами для самопроверки.</w:t>
      </w:r>
    </w:p>
    <w:p w:rsidR="00B7328A" w:rsidRPr="002E2BA4" w:rsidRDefault="00B7328A" w:rsidP="00B7328A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>Работа с учебной и научной литературой.</w:t>
      </w:r>
    </w:p>
    <w:p w:rsidR="00B7328A" w:rsidRPr="002E2BA4" w:rsidRDefault="00B7328A" w:rsidP="00B7328A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>Самостоятельная проработка отдельных тем учебной дисциплины в соответствии с учебным планом.</w:t>
      </w:r>
    </w:p>
    <w:p w:rsidR="00B7328A" w:rsidRPr="002E2BA4" w:rsidRDefault="00B7328A" w:rsidP="00B7328A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>Подготовка ко всем видам контрольных испытаний.</w:t>
      </w:r>
    </w:p>
    <w:p w:rsidR="00B7328A" w:rsidRPr="002E2BA4" w:rsidRDefault="00B7328A" w:rsidP="00B7328A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 xml:space="preserve">Подготовка и написание рефератов, докладов на заданные темы, подбор и изучение литературных источников. </w:t>
      </w:r>
    </w:p>
    <w:p w:rsidR="00B7328A" w:rsidRPr="002E2BA4" w:rsidRDefault="00B7328A" w:rsidP="00B7328A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>Выполнение индивидуальных домашних заданий (решение задач, проблемных ситуаций, перевод текстов, проведение расчетов).</w:t>
      </w:r>
    </w:p>
    <w:p w:rsidR="00B7328A" w:rsidRPr="002E2BA4" w:rsidRDefault="00B7328A" w:rsidP="00B7328A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>Участие в научно-исследовательской работе кафедр.</w:t>
      </w:r>
    </w:p>
    <w:p w:rsidR="00B7328A" w:rsidRPr="002E2BA4" w:rsidRDefault="00B7328A" w:rsidP="00B7328A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>Участие в научно-практических конференциях, семинарах</w:t>
      </w:r>
    </w:p>
    <w:p w:rsidR="00B7328A" w:rsidRPr="002E2BA4" w:rsidRDefault="00B7328A" w:rsidP="00B7328A">
      <w:pPr>
        <w:autoSpaceDN w:val="0"/>
        <w:adjustRightInd w:val="0"/>
        <w:rPr>
          <w:sz w:val="24"/>
        </w:rPr>
      </w:pPr>
    </w:p>
    <w:p w:rsidR="00B7328A" w:rsidRDefault="00B7328A" w:rsidP="00B7328A">
      <w:pPr>
        <w:pStyle w:val="210"/>
        <w:shd w:val="clear" w:color="auto" w:fill="auto"/>
        <w:spacing w:before="0"/>
        <w:ind w:right="280" w:firstLine="0"/>
        <w:jc w:val="center"/>
        <w:rPr>
          <w:rStyle w:val="21"/>
          <w:color w:val="000000"/>
          <w:sz w:val="24"/>
          <w:szCs w:val="24"/>
        </w:rPr>
      </w:pPr>
    </w:p>
    <w:p w:rsidR="00B7328A" w:rsidRPr="00FF70E6" w:rsidRDefault="00B7328A" w:rsidP="00B7328A">
      <w:pPr>
        <w:pStyle w:val="a5"/>
        <w:rPr>
          <w:rStyle w:val="11"/>
          <w:b/>
        </w:rPr>
      </w:pPr>
      <w:r w:rsidRPr="00FF70E6">
        <w:rPr>
          <w:rStyle w:val="11"/>
        </w:rPr>
        <w:t>Общая трудоемкость дисциплины составляет 2 зачетные единицы 72 часа.</w:t>
      </w:r>
    </w:p>
    <w:p w:rsidR="00B7328A" w:rsidRPr="00FF70E6" w:rsidRDefault="00B7328A" w:rsidP="00B7328A">
      <w:pPr>
        <w:pStyle w:val="a5"/>
        <w:widowControl/>
        <w:numPr>
          <w:ilvl w:val="0"/>
          <w:numId w:val="3"/>
        </w:numPr>
        <w:jc w:val="center"/>
        <w:rPr>
          <w:rStyle w:val="11"/>
          <w:b/>
        </w:rPr>
      </w:pPr>
    </w:p>
    <w:tbl>
      <w:tblPr>
        <w:tblStyle w:val="a4"/>
        <w:tblW w:w="0" w:type="auto"/>
        <w:tblLook w:val="04A0"/>
      </w:tblPr>
      <w:tblGrid>
        <w:gridCol w:w="7338"/>
        <w:gridCol w:w="2233"/>
      </w:tblGrid>
      <w:tr w:rsidR="00B7328A" w:rsidTr="00B57814">
        <w:tc>
          <w:tcPr>
            <w:tcW w:w="7338" w:type="dxa"/>
          </w:tcPr>
          <w:p w:rsidR="00B7328A" w:rsidRDefault="00B7328A" w:rsidP="00B57814">
            <w:pPr>
              <w:rPr>
                <w:b/>
              </w:rPr>
            </w:pPr>
            <w:r w:rsidRPr="00115D0D">
              <w:rPr>
                <w:rStyle w:val="a3"/>
              </w:rPr>
              <w:t>Вид учебной работы</w:t>
            </w:r>
          </w:p>
        </w:tc>
        <w:tc>
          <w:tcPr>
            <w:tcW w:w="2233" w:type="dxa"/>
          </w:tcPr>
          <w:p w:rsidR="00B7328A" w:rsidRDefault="00B7328A" w:rsidP="00B57814">
            <w:pPr>
              <w:rPr>
                <w:b/>
              </w:rPr>
            </w:pPr>
            <w:r w:rsidRPr="00115D0D">
              <w:rPr>
                <w:rStyle w:val="a3"/>
              </w:rPr>
              <w:t>Объем часов</w:t>
            </w:r>
          </w:p>
        </w:tc>
      </w:tr>
      <w:tr w:rsidR="00B7328A" w:rsidTr="00B57814">
        <w:tc>
          <w:tcPr>
            <w:tcW w:w="7338" w:type="dxa"/>
          </w:tcPr>
          <w:p w:rsidR="00B7328A" w:rsidRDefault="00B7328A" w:rsidP="00B57814">
            <w:pPr>
              <w:rPr>
                <w:b/>
              </w:rPr>
            </w:pPr>
            <w:r w:rsidRPr="00115D0D">
              <w:rPr>
                <w:rStyle w:val="a3"/>
              </w:rPr>
              <w:t>Максимальная учебная нагрузка (всего</w:t>
            </w:r>
            <w:r>
              <w:rPr>
                <w:rStyle w:val="a3"/>
              </w:rPr>
              <w:t>)</w:t>
            </w:r>
          </w:p>
        </w:tc>
        <w:tc>
          <w:tcPr>
            <w:tcW w:w="2233" w:type="dxa"/>
          </w:tcPr>
          <w:p w:rsidR="00B7328A" w:rsidRDefault="00B7328A" w:rsidP="00B57814">
            <w:pPr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B7328A" w:rsidTr="00B57814">
        <w:tc>
          <w:tcPr>
            <w:tcW w:w="7338" w:type="dxa"/>
          </w:tcPr>
          <w:p w:rsidR="00B7328A" w:rsidRDefault="00B7328A" w:rsidP="00B57814">
            <w:pPr>
              <w:rPr>
                <w:b/>
              </w:rPr>
            </w:pPr>
            <w:r w:rsidRPr="00115D0D">
              <w:rPr>
                <w:rStyle w:val="a3"/>
              </w:rPr>
              <w:t>Обязательная аудиторная учебная нагрузка (всего)</w:t>
            </w:r>
          </w:p>
        </w:tc>
        <w:tc>
          <w:tcPr>
            <w:tcW w:w="2233" w:type="dxa"/>
          </w:tcPr>
          <w:p w:rsidR="00B7328A" w:rsidRDefault="00B7328A" w:rsidP="00B57814">
            <w:pPr>
              <w:rPr>
                <w:b/>
              </w:rPr>
            </w:pPr>
            <w:r>
              <w:rPr>
                <w:b/>
              </w:rPr>
              <w:t>48</w:t>
            </w:r>
          </w:p>
        </w:tc>
      </w:tr>
      <w:tr w:rsidR="00B7328A" w:rsidTr="00B57814">
        <w:tc>
          <w:tcPr>
            <w:tcW w:w="7338" w:type="dxa"/>
          </w:tcPr>
          <w:p w:rsidR="00B7328A" w:rsidRPr="0013549A" w:rsidRDefault="00B7328A" w:rsidP="00B57814">
            <w:pPr>
              <w:rPr>
                <w:b/>
              </w:rPr>
            </w:pPr>
            <w:r w:rsidRPr="0013549A">
              <w:t>в том числе:</w:t>
            </w:r>
          </w:p>
        </w:tc>
        <w:tc>
          <w:tcPr>
            <w:tcW w:w="2233" w:type="dxa"/>
          </w:tcPr>
          <w:p w:rsidR="00B7328A" w:rsidRDefault="00B7328A" w:rsidP="00B57814">
            <w:pPr>
              <w:rPr>
                <w:b/>
              </w:rPr>
            </w:pPr>
          </w:p>
        </w:tc>
      </w:tr>
      <w:tr w:rsidR="00B7328A" w:rsidTr="00B57814">
        <w:tc>
          <w:tcPr>
            <w:tcW w:w="7338" w:type="dxa"/>
          </w:tcPr>
          <w:p w:rsidR="00B7328A" w:rsidRPr="0013549A" w:rsidRDefault="00B7328A" w:rsidP="00B57814">
            <w:pPr>
              <w:rPr>
                <w:b/>
              </w:rPr>
            </w:pPr>
            <w:r w:rsidRPr="0013549A">
              <w:t>лекции</w:t>
            </w:r>
          </w:p>
        </w:tc>
        <w:tc>
          <w:tcPr>
            <w:tcW w:w="2233" w:type="dxa"/>
          </w:tcPr>
          <w:p w:rsidR="00B7328A" w:rsidRDefault="00B7328A" w:rsidP="00B57814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B7328A" w:rsidTr="00B57814">
        <w:tc>
          <w:tcPr>
            <w:tcW w:w="7338" w:type="dxa"/>
          </w:tcPr>
          <w:p w:rsidR="00B7328A" w:rsidRPr="0013549A" w:rsidRDefault="00B7328A" w:rsidP="00B57814">
            <w:pPr>
              <w:rPr>
                <w:b/>
              </w:rPr>
            </w:pPr>
            <w:r w:rsidRPr="0013549A">
              <w:t>практические занятия</w:t>
            </w:r>
          </w:p>
        </w:tc>
        <w:tc>
          <w:tcPr>
            <w:tcW w:w="2233" w:type="dxa"/>
          </w:tcPr>
          <w:p w:rsidR="00B7328A" w:rsidRDefault="00B7328A" w:rsidP="00B57814">
            <w:pPr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B7328A" w:rsidTr="00B57814">
        <w:tc>
          <w:tcPr>
            <w:tcW w:w="7338" w:type="dxa"/>
          </w:tcPr>
          <w:p w:rsidR="00B7328A" w:rsidRPr="0013549A" w:rsidRDefault="00B7328A" w:rsidP="00B57814">
            <w:pPr>
              <w:rPr>
                <w:b/>
              </w:rPr>
            </w:pPr>
            <w:r w:rsidRPr="0013549A">
              <w:t>семинары</w:t>
            </w:r>
          </w:p>
        </w:tc>
        <w:tc>
          <w:tcPr>
            <w:tcW w:w="2233" w:type="dxa"/>
          </w:tcPr>
          <w:p w:rsidR="00B7328A" w:rsidRDefault="00B7328A" w:rsidP="00B57814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B7328A" w:rsidTr="00B57814">
        <w:tc>
          <w:tcPr>
            <w:tcW w:w="7338" w:type="dxa"/>
          </w:tcPr>
          <w:p w:rsidR="00B7328A" w:rsidRPr="0013549A" w:rsidRDefault="00B7328A" w:rsidP="00B57814">
            <w:pPr>
              <w:rPr>
                <w:b/>
              </w:rPr>
            </w:pPr>
            <w:r w:rsidRPr="0013549A">
              <w:rPr>
                <w:rStyle w:val="a3"/>
                <w:sz w:val="24"/>
              </w:rPr>
              <w:t>Самостоятельная работа обучающегося (всего)</w:t>
            </w:r>
          </w:p>
        </w:tc>
        <w:tc>
          <w:tcPr>
            <w:tcW w:w="2233" w:type="dxa"/>
          </w:tcPr>
          <w:p w:rsidR="00B7328A" w:rsidRDefault="00B7328A" w:rsidP="00B57814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B7328A" w:rsidTr="00B57814">
        <w:tc>
          <w:tcPr>
            <w:tcW w:w="7338" w:type="dxa"/>
          </w:tcPr>
          <w:p w:rsidR="00B7328A" w:rsidRPr="0013549A" w:rsidRDefault="00B7328A" w:rsidP="00B57814">
            <w:pPr>
              <w:rPr>
                <w:b/>
              </w:rPr>
            </w:pPr>
            <w:r w:rsidRPr="0013549A">
              <w:t>в том числе:</w:t>
            </w:r>
          </w:p>
        </w:tc>
        <w:tc>
          <w:tcPr>
            <w:tcW w:w="2233" w:type="dxa"/>
          </w:tcPr>
          <w:p w:rsidR="00B7328A" w:rsidRDefault="00B7328A" w:rsidP="00B57814">
            <w:pPr>
              <w:rPr>
                <w:b/>
              </w:rPr>
            </w:pPr>
          </w:p>
        </w:tc>
      </w:tr>
      <w:tr w:rsidR="00B7328A" w:rsidTr="00B57814">
        <w:tc>
          <w:tcPr>
            <w:tcW w:w="7338" w:type="dxa"/>
          </w:tcPr>
          <w:p w:rsidR="00B7328A" w:rsidRPr="0013549A" w:rsidRDefault="00B7328A" w:rsidP="00B57814">
            <w:pPr>
              <w:rPr>
                <w:b/>
              </w:rPr>
            </w:pPr>
            <w:r w:rsidRPr="0013549A">
              <w:t>самостоятельная внеаудиторная работа</w:t>
            </w:r>
          </w:p>
        </w:tc>
        <w:tc>
          <w:tcPr>
            <w:tcW w:w="2233" w:type="dxa"/>
          </w:tcPr>
          <w:p w:rsidR="00B7328A" w:rsidRDefault="00B7328A" w:rsidP="00B57814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B7328A" w:rsidTr="00B57814">
        <w:tc>
          <w:tcPr>
            <w:tcW w:w="7338" w:type="dxa"/>
          </w:tcPr>
          <w:p w:rsidR="00B7328A" w:rsidRPr="0013549A" w:rsidRDefault="00B7328A" w:rsidP="00B57814">
            <w:pPr>
              <w:rPr>
                <w:b/>
              </w:rPr>
            </w:pPr>
            <w:r w:rsidRPr="0013549A">
              <w:rPr>
                <w:rStyle w:val="a3"/>
                <w:sz w:val="24"/>
              </w:rPr>
              <w:t xml:space="preserve">Вид промежуточной аттестации: </w:t>
            </w:r>
            <w:r w:rsidRPr="0013549A">
              <w:t>зачет</w:t>
            </w:r>
          </w:p>
        </w:tc>
        <w:tc>
          <w:tcPr>
            <w:tcW w:w="2233" w:type="dxa"/>
          </w:tcPr>
          <w:p w:rsidR="00B7328A" w:rsidRDefault="00B7328A" w:rsidP="00B57814">
            <w:pPr>
              <w:rPr>
                <w:b/>
              </w:rPr>
            </w:pPr>
          </w:p>
        </w:tc>
      </w:tr>
    </w:tbl>
    <w:p w:rsidR="00B7328A" w:rsidRPr="003C2806" w:rsidRDefault="00B7328A" w:rsidP="00B7328A">
      <w:pPr>
        <w:rPr>
          <w:b/>
        </w:rPr>
      </w:pPr>
    </w:p>
    <w:p w:rsidR="00B7328A" w:rsidRPr="007919B6" w:rsidRDefault="00B7328A" w:rsidP="00B7328A">
      <w:pPr>
        <w:jc w:val="both"/>
        <w:rPr>
          <w:rFonts w:eastAsia="Calibri"/>
          <w:b/>
          <w:sz w:val="24"/>
          <w:lang w:eastAsia="en-US"/>
        </w:rPr>
      </w:pPr>
      <w:r w:rsidRPr="007919B6">
        <w:rPr>
          <w:rFonts w:eastAsia="Calibri"/>
          <w:b/>
          <w:sz w:val="24"/>
          <w:lang w:eastAsia="en-US"/>
        </w:rPr>
        <w:t>Примеры контрольно-оценочных материалов по результатам освоения рабочей программы учебного модуля «</w:t>
      </w:r>
      <w:r w:rsidR="006227D0">
        <w:rPr>
          <w:b/>
          <w:sz w:val="24"/>
        </w:rPr>
        <w:t>Клиническая фармакология</w:t>
      </w:r>
      <w:r w:rsidRPr="007919B6">
        <w:rPr>
          <w:rFonts w:eastAsia="Calibri"/>
          <w:b/>
          <w:sz w:val="24"/>
          <w:lang w:eastAsia="en-US"/>
        </w:rPr>
        <w:t>»:</w:t>
      </w:r>
    </w:p>
    <w:p w:rsidR="00B7328A" w:rsidRDefault="00B7328A" w:rsidP="00B7328A">
      <w:pPr>
        <w:autoSpaceDN w:val="0"/>
        <w:adjustRightInd w:val="0"/>
        <w:ind w:left="284" w:firstLine="709"/>
        <w:rPr>
          <w:i/>
          <w:iCs/>
          <w:sz w:val="22"/>
          <w:szCs w:val="22"/>
        </w:rPr>
      </w:pPr>
    </w:p>
    <w:p w:rsidR="00B7328A" w:rsidRPr="003627DA" w:rsidRDefault="00B7328A" w:rsidP="00B7328A">
      <w:pPr>
        <w:autoSpaceDN w:val="0"/>
        <w:adjustRightInd w:val="0"/>
        <w:ind w:left="284" w:firstLine="709"/>
        <w:rPr>
          <w:i/>
          <w:iCs/>
          <w:sz w:val="22"/>
          <w:szCs w:val="22"/>
        </w:rPr>
      </w:pPr>
      <w:r w:rsidRPr="003627DA">
        <w:rPr>
          <w:i/>
          <w:iCs/>
          <w:sz w:val="22"/>
          <w:szCs w:val="22"/>
        </w:rPr>
        <w:t>1. Тестовые задания</w:t>
      </w:r>
    </w:p>
    <w:p w:rsidR="00B7328A" w:rsidRDefault="00B7328A" w:rsidP="00B7328A">
      <w:pPr>
        <w:pStyle w:val="a6"/>
        <w:jc w:val="left"/>
      </w:pP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>1.К препаратам, применяемым для лечения желчнокаменной болезни, относят: 1. Хенодезоксихолевая кислота; 2. ксилит; 3. Урсодезоксихолевая кислота; 4. Циквалон; 5. Холензим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      а) если правильны ответы 1,2 я 3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      +б) если правильный ответы 1 и 3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      в) если правильны ответы 2 и 4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      г) если правильный ответ 4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      д) если правильный ответы 1, 2,3,4 и 5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2.  К побочным эффектам, вызываемым алюминий содержащими препаратами, относят: 1. Нарушение абсорбции фосфатов (мышечная слабость); 2. Остеопороз; 3. Остеомаляция; 4.  нефропатии; 5. Энцефалопатия 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      а) если правильны ответы 1,2 я 3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      б) если правильный ответы 1 и 3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      в) если правильны ответы 2 и 4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      г) если правильный ответ 4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     + д) если правильный ответы 1, 2,3,4 и 5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 3. При обнаружении хеликобактер пилори при хронических гастритах можно назначить: 1.ДС-НОЛ; 2. метронидазол; 3. ампициллин; 4. кларитромицин; 5. тетрациклин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      а) если правильны ответы 1,2 я 3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      б) если правильный ответы 1 и 3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      в) если правильны ответы 2 и 4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      г) если правильный ответ 4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      + д) если правильный ответы 1, 2,3,4 и 5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>4. При функциональной диспепсии применяют: 1. Антацидные препараты; 2. Де-нол; 3. Блокаторы Н2—рецепторов гистамина; 4. Метронидазол; 5. Кларитромицин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      а) если правильны ответы 1,2 я 3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      + б) если правильный ответы 1 и 3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      в) если правильны ответы 2 и 4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      г) если правильный ответ 4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      д) если правильный ответы 1, 2,3,4 и 5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>5. Растворение камней в желчном пузыре вызывают: 1. холестирамин; 2. хенофальк; 3. ионообменные смолы; 4. урсофальк; 5. симвастатин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      а) если правильны ответы 1,2 я 3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      б) если правильный ответы 1 и 3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      + в) если правильны ответы 2 и 4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      г) если правильный ответ 4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      д) если правильный ответы 1, 2,3,4 и 5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 6. Препаратами ферментного действия являются: 1. холензим; 2. фестал; 3. мезим форте; 4. хенодезоксихолевая кислота; 5. липоевая кислота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      а) если правильны ответы 1,2 я 3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      б) если правильный ответы 1 и 3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      в) если правильны ответы 2 и 4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      г) если правильный ответ 4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      + д) если правильный ответы 1, 2,3,4 и 5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 7.  Обострение неспецифического язвенного колита может I быть связано: 1. с прекращением поддерживающей терапии сульфасалазином; 2. с беременностью; 3. с нарушением диеты; 4. с приемом преднизолона; 5. с приемом сульфасалазина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     + а) если правильны ответы 1,2 я 3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      б) если правильный ответы 1 и 3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      в) если правильны ответы 2 и 4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      г) если правильный ответ 4</w:t>
      </w:r>
    </w:p>
    <w:p w:rsidR="00B7328A" w:rsidRPr="00B7328A" w:rsidRDefault="00B7328A" w:rsidP="00B7328A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  <w:r w:rsidRPr="00B7328A">
        <w:rPr>
          <w:rFonts w:ascii="Times New Roman" w:hAnsi="Times New Roman" w:cs="Times New Roman"/>
          <w:sz w:val="24"/>
          <w:szCs w:val="24"/>
        </w:rPr>
        <w:t xml:space="preserve">      д) если правильный ответы 1, 2,3,4 и 5</w:t>
      </w:r>
    </w:p>
    <w:p w:rsidR="00077932" w:rsidRDefault="00077932">
      <w:pPr>
        <w:rPr>
          <w:sz w:val="24"/>
        </w:rPr>
      </w:pPr>
    </w:p>
    <w:p w:rsidR="00B7328A" w:rsidRDefault="00B7328A">
      <w:pPr>
        <w:rPr>
          <w:sz w:val="24"/>
        </w:rPr>
      </w:pPr>
    </w:p>
    <w:p w:rsidR="00B7328A" w:rsidRDefault="00B7328A" w:rsidP="00B7328A">
      <w:pPr>
        <w:autoSpaceDN w:val="0"/>
        <w:adjustRightInd w:val="0"/>
        <w:ind w:left="284" w:firstLine="709"/>
        <w:rPr>
          <w:i/>
          <w:iCs/>
          <w:sz w:val="22"/>
          <w:szCs w:val="22"/>
        </w:rPr>
      </w:pPr>
      <w:r w:rsidRPr="003627DA">
        <w:rPr>
          <w:i/>
          <w:iCs/>
          <w:sz w:val="22"/>
          <w:szCs w:val="22"/>
        </w:rPr>
        <w:t>2. Ситуационные задачи</w:t>
      </w:r>
    </w:p>
    <w:p w:rsidR="00B7328A" w:rsidRDefault="00B7328A">
      <w:pPr>
        <w:rPr>
          <w:sz w:val="24"/>
        </w:rPr>
      </w:pPr>
    </w:p>
    <w:p w:rsidR="00B7328A" w:rsidRPr="00B7328A" w:rsidRDefault="00B7328A" w:rsidP="00B7328A">
      <w:pPr>
        <w:jc w:val="both"/>
        <w:rPr>
          <w:sz w:val="24"/>
        </w:rPr>
      </w:pPr>
      <w:r w:rsidRPr="00B7328A">
        <w:rPr>
          <w:sz w:val="24"/>
        </w:rPr>
        <w:t xml:space="preserve">Пациент Н, 43 лет. В течение 1,5 лет наблюдаются периодические приступы болей в околопупочной области и области левого подреберья с иррадиацией в спину, реже – опоясывающего характера. Боли сопровождаются многократной рвотой. Приступы провоцируются обильной, особенно жирной пищей, приемом алкоголя. Настоящий приступ развился в течение последних суток и характеризуется сильными болями в околопупочной области с 36 иррадиацией в спину, многократной рвотой, учащенным кашицеобразным стулом обычного цвета. </w:t>
      </w:r>
    </w:p>
    <w:p w:rsidR="00B7328A" w:rsidRPr="00B7328A" w:rsidRDefault="00B7328A" w:rsidP="00B7328A">
      <w:pPr>
        <w:jc w:val="both"/>
        <w:rPr>
          <w:sz w:val="24"/>
        </w:rPr>
      </w:pPr>
      <w:r w:rsidRPr="00B7328A">
        <w:rPr>
          <w:sz w:val="24"/>
        </w:rPr>
        <w:lastRenderedPageBreak/>
        <w:t xml:space="preserve">При осмотре: масса – 76 кг, рост – 186 см. Кожа бледная, чистая, сухая. Со стороны органов дыхания и кровообращения патологии не выявлено, за исключением умеренной тахикардии. Живот умеренно вздут в верхних отделах, болезненный в эпигастральной области, в зоне Шоффара, в точках Дежардена и Мейо-Робсона. Печень пальпируется у края реберной дуги, край безболезненный. Пальпация в области желчного пузыря слегка болезненная. </w:t>
      </w:r>
    </w:p>
    <w:p w:rsidR="00B7328A" w:rsidRPr="00B7328A" w:rsidRDefault="00B7328A" w:rsidP="00B7328A">
      <w:pPr>
        <w:jc w:val="both"/>
        <w:rPr>
          <w:sz w:val="24"/>
        </w:rPr>
      </w:pPr>
      <w:r w:rsidRPr="00B7328A">
        <w:rPr>
          <w:sz w:val="24"/>
        </w:rPr>
        <w:t xml:space="preserve">Анализ крови клинический: Нb – 124 г/л, эр – 4,2х1012/л, ЦП – 0,88, лейк – 6,6х109 /л, п/я – 4%, с/я – 51%, л – 36%, м – 6%, э – 3%, СОЭ – 12 мм/час. Биохимическое исследование крови: общий белок – 78 г/л, альбумины 52%, глобулины: α1 – 5%, α2 – 14%, β – 13%, γ – 16%, АлАТ – 50 ед/л (N – до 40), АсАТ – 60 ед/л (N – до 40), ЩФ – 150 ед/л (N – до 140), амилаза – 240 ед/л (N – до 120), билирубин – 16 мкмоль/л, прямой – 5 мкмоль/л. Диастаза мочи: 256 ед (норма 32-64 ед). </w:t>
      </w:r>
    </w:p>
    <w:p w:rsidR="00B7328A" w:rsidRPr="00B7328A" w:rsidRDefault="00B7328A" w:rsidP="00B7328A">
      <w:pPr>
        <w:jc w:val="both"/>
        <w:rPr>
          <w:sz w:val="24"/>
        </w:rPr>
      </w:pPr>
      <w:r w:rsidRPr="00B7328A">
        <w:rPr>
          <w:sz w:val="24"/>
        </w:rPr>
        <w:t xml:space="preserve">УЗИ органов брюшной полости: печень – не увеличена, контуры ровные, паренхима однородная, эхогенность обычная, сосудистая сеть не расширена, портальная вена не изменена; желчный пузырь – с перегибом в области шейки, толщина стенок до 2 мм (норма – до 2 мм), поджелудочная железа – паренхима эхонеоднородная с гиперэхогенными участками, головка – 32 мм (N – до 18), тело – 21 мм (N – до 15), хвост – 26 мм (N – до 18). </w:t>
      </w:r>
    </w:p>
    <w:p w:rsidR="00B7328A" w:rsidRPr="00B7328A" w:rsidRDefault="00B7328A" w:rsidP="00B7328A">
      <w:pPr>
        <w:jc w:val="both"/>
        <w:rPr>
          <w:sz w:val="24"/>
        </w:rPr>
      </w:pPr>
      <w:r w:rsidRPr="00B7328A">
        <w:rPr>
          <w:sz w:val="24"/>
        </w:rPr>
        <w:t xml:space="preserve">1. Сформулируйте и обоснуйте диагноз. </w:t>
      </w:r>
    </w:p>
    <w:p w:rsidR="00B7328A" w:rsidRPr="00B7328A" w:rsidRDefault="00B7328A" w:rsidP="00B7328A">
      <w:pPr>
        <w:jc w:val="both"/>
        <w:rPr>
          <w:sz w:val="24"/>
        </w:rPr>
      </w:pPr>
      <w:r w:rsidRPr="00B7328A">
        <w:rPr>
          <w:sz w:val="24"/>
        </w:rPr>
        <w:t xml:space="preserve">2. Назначьте и обоснуйте лечение для этого больного. </w:t>
      </w:r>
    </w:p>
    <w:p w:rsidR="00B7328A" w:rsidRPr="00B7328A" w:rsidRDefault="00B7328A" w:rsidP="00B7328A">
      <w:pPr>
        <w:jc w:val="both"/>
        <w:rPr>
          <w:sz w:val="24"/>
        </w:rPr>
      </w:pPr>
      <w:r w:rsidRPr="00B7328A">
        <w:rPr>
          <w:sz w:val="24"/>
        </w:rPr>
        <w:t xml:space="preserve">3. Антисекреторные препараты, механизм действия. </w:t>
      </w:r>
    </w:p>
    <w:p w:rsidR="00B7328A" w:rsidRPr="00B7328A" w:rsidRDefault="00B7328A" w:rsidP="00B7328A">
      <w:pPr>
        <w:jc w:val="both"/>
        <w:rPr>
          <w:sz w:val="24"/>
        </w:rPr>
      </w:pPr>
      <w:r w:rsidRPr="00B7328A">
        <w:rPr>
          <w:sz w:val="24"/>
        </w:rPr>
        <w:t xml:space="preserve">Эталоны ответов к задаче </w:t>
      </w:r>
    </w:p>
    <w:p w:rsidR="00B7328A" w:rsidRPr="00B7328A" w:rsidRDefault="00B7328A" w:rsidP="00B7328A">
      <w:pPr>
        <w:jc w:val="both"/>
        <w:rPr>
          <w:sz w:val="24"/>
        </w:rPr>
      </w:pPr>
      <w:r w:rsidRPr="00B7328A">
        <w:rPr>
          <w:sz w:val="24"/>
        </w:rPr>
        <w:t xml:space="preserve">1. Хронический панкреатит, обострение. </w:t>
      </w:r>
    </w:p>
    <w:p w:rsidR="00B7328A" w:rsidRPr="00B7328A" w:rsidRDefault="00B7328A" w:rsidP="00B7328A">
      <w:pPr>
        <w:jc w:val="both"/>
        <w:rPr>
          <w:sz w:val="24"/>
        </w:rPr>
      </w:pPr>
      <w:r w:rsidRPr="00B7328A">
        <w:rPr>
          <w:sz w:val="24"/>
        </w:rPr>
        <w:t xml:space="preserve">2. Соблюдение диеты. Антисекреторные, препараты, препараты, содержащие ферменты поджелудочной железы. </w:t>
      </w:r>
    </w:p>
    <w:p w:rsidR="00B7328A" w:rsidRDefault="00B7328A" w:rsidP="00B7328A">
      <w:r w:rsidRPr="00B7328A">
        <w:rPr>
          <w:sz w:val="24"/>
        </w:rPr>
        <w:t>3. М-холинолитики. Препараты блокируют М2-холинорецепторы, расположенные в железах слизистой оболочки желудка и в гладких мышцах желудочно-кишечного тракта. Они устраняют вагусные холинергические влияния главным образом на базальную и ночную секрецию. Гистамино2-литики блокируют соответствующие рецепторы по конкурентному типу. Препараты подавляют базальную кислотную продукцию, ночную секрецию, а также секрецию соляной кислоты, стимулированную пищей, растяжением дна желудка, гистамином, инсулином</w:t>
      </w:r>
      <w:r>
        <w:rPr>
          <w:sz w:val="24"/>
        </w:rPr>
        <w:t xml:space="preserve"> и т.п. Гистамино</w:t>
      </w:r>
      <w:r w:rsidRPr="00B7328A">
        <w:rPr>
          <w:sz w:val="24"/>
        </w:rPr>
        <w:t>литики увеличивают продукцию простагландина</w:t>
      </w:r>
      <w:r>
        <w:t>Е2 в слизистой оболочке желудка и двенадцатиперстной кишки, опосредующего цитопротективный эффект. Ингибиторы протонной помпы. Препараты необратимо ингибируют Н+ , К+ -АТФ-азу. Ингибиторы протонной помпы обладают очень выраженным угнетающим действием на базальную, ночную и стимулированную секрецию кислоты, в том числе в случаях, резистентных к М-холинолитикам и гистамино2-блокаторам.</w:t>
      </w:r>
    </w:p>
    <w:p w:rsidR="00B7328A" w:rsidRDefault="00B7328A" w:rsidP="00B7328A"/>
    <w:p w:rsidR="00B7328A" w:rsidRDefault="00B7328A" w:rsidP="00B7328A"/>
    <w:p w:rsidR="00B7328A" w:rsidRPr="00D467AB" w:rsidRDefault="00B7328A" w:rsidP="00B7328A">
      <w:pPr>
        <w:widowControl w:val="0"/>
        <w:ind w:firstLine="709"/>
        <w:jc w:val="center"/>
        <w:rPr>
          <w:b/>
          <w:sz w:val="24"/>
        </w:rPr>
      </w:pPr>
      <w:r w:rsidRPr="00D467AB">
        <w:rPr>
          <w:b/>
          <w:sz w:val="24"/>
        </w:rPr>
        <w:t>Список литературы для ординаторов</w:t>
      </w:r>
    </w:p>
    <w:p w:rsidR="00B7328A" w:rsidRDefault="00B7328A" w:rsidP="00B7328A">
      <w:pPr>
        <w:autoSpaceDN w:val="0"/>
        <w:adjustRightInd w:val="0"/>
        <w:ind w:left="284"/>
        <w:rPr>
          <w:rFonts w:ascii="Times New Roman CYR" w:hAnsi="Times New Roman CYR" w:cs="Times New Roman CYR"/>
          <w:i/>
          <w:iCs/>
          <w:sz w:val="22"/>
          <w:szCs w:val="22"/>
        </w:rPr>
      </w:pPr>
      <w:r w:rsidRPr="003627DA">
        <w:rPr>
          <w:rFonts w:ascii="Times New Roman CYR" w:hAnsi="Times New Roman CYR" w:cs="Times New Roman CYR"/>
          <w:i/>
          <w:iCs/>
          <w:sz w:val="22"/>
          <w:szCs w:val="22"/>
        </w:rPr>
        <w:t>а) основная литература:</w:t>
      </w:r>
    </w:p>
    <w:p w:rsidR="00B7328A" w:rsidRDefault="00B7328A" w:rsidP="00B7328A">
      <w:pPr>
        <w:rPr>
          <w:sz w:val="22"/>
          <w:szCs w:val="22"/>
        </w:rPr>
      </w:pPr>
      <w:r w:rsidRPr="00BC6414">
        <w:rPr>
          <w:sz w:val="22"/>
          <w:szCs w:val="22"/>
        </w:rPr>
        <w:t>Клиническая фармакология. Национальное руководство. Под ред. Чл-кор. РАМН Ю.Б. Белоусова, акад. РАМН В.Г. Кукеса, чл-кор РАМН З.К. Лопахина, акад РАМН В.И. Пет</w:t>
      </w:r>
      <w:r>
        <w:rPr>
          <w:sz w:val="22"/>
          <w:szCs w:val="22"/>
        </w:rPr>
        <w:t>рова.- Москва: ГЭОТР-Медиа, 2014</w:t>
      </w:r>
      <w:r w:rsidRPr="00BC6414">
        <w:rPr>
          <w:sz w:val="22"/>
          <w:szCs w:val="22"/>
        </w:rPr>
        <w:t>.- 976 с.</w:t>
      </w:r>
    </w:p>
    <w:p w:rsidR="00B7328A" w:rsidRDefault="00B7328A" w:rsidP="00B7328A">
      <w:pPr>
        <w:rPr>
          <w:sz w:val="22"/>
          <w:szCs w:val="22"/>
        </w:rPr>
      </w:pPr>
    </w:p>
    <w:p w:rsidR="00B7328A" w:rsidRPr="003627DA" w:rsidRDefault="00B7328A" w:rsidP="00B7328A">
      <w:pPr>
        <w:autoSpaceDN w:val="0"/>
        <w:adjustRightInd w:val="0"/>
        <w:ind w:left="284"/>
        <w:rPr>
          <w:rFonts w:ascii="Times New Roman CYR" w:hAnsi="Times New Roman CYR" w:cs="Times New Roman CYR"/>
          <w:sz w:val="22"/>
          <w:szCs w:val="22"/>
        </w:rPr>
      </w:pPr>
      <w:r w:rsidRPr="003627DA">
        <w:rPr>
          <w:rFonts w:ascii="Times New Roman CYR" w:hAnsi="Times New Roman CYR" w:cs="Times New Roman CYR"/>
          <w:i/>
          <w:iCs/>
          <w:sz w:val="22"/>
          <w:szCs w:val="22"/>
        </w:rPr>
        <w:t>б)  дополнительная литература</w:t>
      </w:r>
      <w:r w:rsidRPr="003627DA">
        <w:rPr>
          <w:rFonts w:ascii="Times New Roman CYR" w:hAnsi="Times New Roman CYR" w:cs="Times New Roman CYR"/>
          <w:sz w:val="22"/>
          <w:szCs w:val="22"/>
        </w:rPr>
        <w:t>:</w:t>
      </w:r>
    </w:p>
    <w:p w:rsidR="00B7328A" w:rsidRPr="00B7328A" w:rsidRDefault="00B7328A" w:rsidP="00B7328A">
      <w:pPr>
        <w:pStyle w:val="a5"/>
        <w:widowControl/>
        <w:numPr>
          <w:ilvl w:val="0"/>
          <w:numId w:val="4"/>
        </w:numPr>
        <w:ind w:right="-113"/>
        <w:contextualSpacing w:val="0"/>
        <w:rPr>
          <w:rFonts w:ascii="Times New Roman" w:hAnsi="Times New Roman" w:cs="Times New Roman"/>
        </w:rPr>
      </w:pPr>
      <w:r w:rsidRPr="00B7328A">
        <w:rPr>
          <w:rFonts w:ascii="Times New Roman" w:hAnsi="Times New Roman" w:cs="Times New Roman"/>
        </w:rPr>
        <w:t>Альгинаты – новые средства на основе природных соединений в лечении гастро-эзофагеальной рефлюксной болезни и других кислотозависимых заболеваний органов пищеварения. Методические рекомендации. Спб., 2008. – 33 с.</w:t>
      </w:r>
    </w:p>
    <w:p w:rsidR="00B7328A" w:rsidRPr="00B7328A" w:rsidRDefault="00B7328A" w:rsidP="00B7328A">
      <w:pPr>
        <w:pStyle w:val="a5"/>
        <w:widowControl/>
        <w:numPr>
          <w:ilvl w:val="0"/>
          <w:numId w:val="4"/>
        </w:numPr>
        <w:ind w:right="-113"/>
        <w:contextualSpacing w:val="0"/>
        <w:rPr>
          <w:rFonts w:ascii="Times New Roman" w:hAnsi="Times New Roman" w:cs="Times New Roman"/>
        </w:rPr>
      </w:pPr>
      <w:r w:rsidRPr="00B7328A">
        <w:rPr>
          <w:rFonts w:ascii="Times New Roman" w:hAnsi="Times New Roman" w:cs="Times New Roman"/>
        </w:rPr>
        <w:lastRenderedPageBreak/>
        <w:t>Диагностика и лечение гастроэзофагеальной рефлюксной болезни (пособие для врачей). Сост.: Ивашкин В.Т., Шептулин А.А., Трухманов А.С., Склянская  О.А., Коньков М.Ю.  Москва.: МЗ РФ. 2005.  – 30 с.</w:t>
      </w:r>
    </w:p>
    <w:p w:rsidR="00B7328A" w:rsidRPr="00B7328A" w:rsidRDefault="00B7328A" w:rsidP="00B7328A">
      <w:pPr>
        <w:pStyle w:val="a5"/>
        <w:widowControl/>
        <w:numPr>
          <w:ilvl w:val="0"/>
          <w:numId w:val="4"/>
        </w:numPr>
        <w:ind w:right="-113"/>
        <w:contextualSpacing w:val="0"/>
        <w:rPr>
          <w:rFonts w:ascii="Times New Roman" w:hAnsi="Times New Roman" w:cs="Times New Roman"/>
        </w:rPr>
      </w:pPr>
      <w:r w:rsidRPr="00B7328A">
        <w:rPr>
          <w:rFonts w:ascii="Times New Roman" w:hAnsi="Times New Roman" w:cs="Times New Roman"/>
        </w:rPr>
        <w:t>Диагностика печеночной энцефалопатии и выбор фармпрепарата для лечения печеночной энцефалопатии. Метод. пособие. Сост.: Минушкин О.Н., Ардатская М.Д., Елизарова Н.А. М.: МЗ РФ 2004.– 31 с.</w:t>
      </w:r>
      <w:r w:rsidRPr="00B7328A">
        <w:rPr>
          <w:rFonts w:ascii="Times New Roman" w:hAnsi="Times New Roman" w:cs="Times New Roman"/>
          <w:vertAlign w:val="superscript"/>
        </w:rPr>
        <w:t xml:space="preserve"> </w:t>
      </w:r>
    </w:p>
    <w:p w:rsidR="00B7328A" w:rsidRPr="00B7328A" w:rsidRDefault="00B7328A" w:rsidP="00B7328A">
      <w:pPr>
        <w:pStyle w:val="a5"/>
        <w:widowControl/>
        <w:numPr>
          <w:ilvl w:val="0"/>
          <w:numId w:val="4"/>
        </w:numPr>
        <w:ind w:right="-113"/>
        <w:contextualSpacing w:val="0"/>
        <w:rPr>
          <w:rFonts w:ascii="Times New Roman" w:hAnsi="Times New Roman" w:cs="Times New Roman"/>
        </w:rPr>
      </w:pPr>
      <w:r w:rsidRPr="00B7328A">
        <w:rPr>
          <w:rFonts w:ascii="Times New Roman" w:hAnsi="Times New Roman" w:cs="Times New Roman"/>
        </w:rPr>
        <w:t xml:space="preserve"> Евсеев М.А. Антисекреторные препараты в неотложной хирургической гастроэнтерологии.  М.ООО ИИЦ «КВАН», 2009. – 173 с.</w:t>
      </w:r>
    </w:p>
    <w:p w:rsidR="00B7328A" w:rsidRPr="00B7328A" w:rsidRDefault="00B7328A" w:rsidP="00B7328A">
      <w:pPr>
        <w:numPr>
          <w:ilvl w:val="0"/>
          <w:numId w:val="4"/>
        </w:numPr>
        <w:spacing w:before="100" w:beforeAutospacing="1" w:after="100" w:afterAutospacing="1"/>
        <w:rPr>
          <w:sz w:val="24"/>
        </w:rPr>
      </w:pPr>
      <w:r w:rsidRPr="00B7328A">
        <w:rPr>
          <w:sz w:val="24"/>
        </w:rPr>
        <w:t>Исаков В.А., Домарадский И.В. Хеликобактериоз. М., 2003. – 412 с.</w:t>
      </w:r>
    </w:p>
    <w:p w:rsidR="00B7328A" w:rsidRPr="00B7328A" w:rsidRDefault="00B7328A" w:rsidP="00B7328A">
      <w:pPr>
        <w:pStyle w:val="a5"/>
        <w:widowControl/>
        <w:numPr>
          <w:ilvl w:val="0"/>
          <w:numId w:val="4"/>
        </w:numPr>
        <w:spacing w:before="100" w:beforeAutospacing="1" w:after="100" w:afterAutospacing="1"/>
        <w:ind w:right="-113"/>
        <w:contextualSpacing w:val="0"/>
        <w:rPr>
          <w:rFonts w:ascii="Times New Roman" w:hAnsi="Times New Roman" w:cs="Times New Roman"/>
        </w:rPr>
      </w:pPr>
      <w:r w:rsidRPr="00B7328A">
        <w:rPr>
          <w:rFonts w:ascii="Times New Roman" w:hAnsi="Times New Roman" w:cs="Times New Roman"/>
        </w:rPr>
        <w:t>Лечение осложнений цирроза печени. Метод. Рекомендации. Сост.: Ивашкин В.Т., Маевская М.В., Федосьина Е.А. – М.: Литтерра. - 2011 – 64 с.</w:t>
      </w:r>
    </w:p>
    <w:p w:rsidR="00B7328A" w:rsidRPr="00B7328A" w:rsidRDefault="00B7328A" w:rsidP="00B7328A">
      <w:pPr>
        <w:numPr>
          <w:ilvl w:val="0"/>
          <w:numId w:val="4"/>
        </w:numPr>
        <w:spacing w:before="100" w:beforeAutospacing="1" w:after="100" w:afterAutospacing="1"/>
        <w:rPr>
          <w:sz w:val="24"/>
        </w:rPr>
      </w:pPr>
      <w:r w:rsidRPr="00B7328A">
        <w:rPr>
          <w:sz w:val="24"/>
        </w:rPr>
        <w:t>Основы клинической фармакологии и рациональной фармакотерапии. / Под редакцией Белоусова Ю.Б.,  Леоновой М.В.  М., 2002. – 357 с.</w:t>
      </w:r>
    </w:p>
    <w:p w:rsidR="00B7328A" w:rsidRPr="00B7328A" w:rsidRDefault="00B7328A" w:rsidP="00B7328A">
      <w:pPr>
        <w:numPr>
          <w:ilvl w:val="0"/>
          <w:numId w:val="4"/>
        </w:numPr>
        <w:spacing w:before="100" w:beforeAutospacing="1" w:after="100" w:afterAutospacing="1"/>
        <w:rPr>
          <w:sz w:val="24"/>
        </w:rPr>
      </w:pPr>
      <w:r w:rsidRPr="00B7328A">
        <w:rPr>
          <w:sz w:val="24"/>
        </w:rPr>
        <w:t>Парфенов А.И. Целиакия. Эволюция представлений о распросраненности, клинических проявлениях и значимости этиотропной терапии. М.: Анахарсис. 2007. – 376 с.</w:t>
      </w:r>
    </w:p>
    <w:p w:rsidR="00B7328A" w:rsidRPr="00B7328A" w:rsidRDefault="00B7328A" w:rsidP="00B7328A">
      <w:pPr>
        <w:pStyle w:val="a5"/>
        <w:widowControl/>
        <w:numPr>
          <w:ilvl w:val="0"/>
          <w:numId w:val="4"/>
        </w:numPr>
        <w:ind w:right="-113"/>
        <w:contextualSpacing w:val="0"/>
        <w:rPr>
          <w:rFonts w:ascii="Times New Roman" w:hAnsi="Times New Roman" w:cs="Times New Roman"/>
        </w:rPr>
      </w:pPr>
      <w:r w:rsidRPr="00B7328A">
        <w:rPr>
          <w:rFonts w:ascii="Times New Roman" w:hAnsi="Times New Roman" w:cs="Times New Roman"/>
        </w:rPr>
        <w:t>Патогенетическая терапия хронических холециститов. Учебное пособие. Сост.: Лоранская И.Д., Ракитская Л.Г., Мамедова Л.Д., Малахова Е.В. М.: РМАПО. 2008. – 19 с.</w:t>
      </w:r>
    </w:p>
    <w:p w:rsidR="00B7328A" w:rsidRPr="00B7328A" w:rsidRDefault="00B7328A" w:rsidP="00B7328A">
      <w:pPr>
        <w:pStyle w:val="a5"/>
        <w:widowControl/>
        <w:numPr>
          <w:ilvl w:val="0"/>
          <w:numId w:val="4"/>
        </w:numPr>
        <w:ind w:right="-113"/>
        <w:contextualSpacing w:val="0"/>
        <w:rPr>
          <w:rFonts w:ascii="Times New Roman" w:hAnsi="Times New Roman" w:cs="Times New Roman"/>
        </w:rPr>
      </w:pPr>
      <w:r w:rsidRPr="00B7328A">
        <w:rPr>
          <w:rFonts w:ascii="Times New Roman" w:hAnsi="Times New Roman" w:cs="Times New Roman"/>
        </w:rPr>
        <w:t>Применение современных антисекреторных и цитопротективных препаратов в лечении язвенной болезни. Учебное пособие. Сост. Р.Х. Басхаева, В.Д.Водолагин, Л.Г. Ракитская, Л.Д.Мамедова, М.: РМАПО. 2001. – 15 с.</w:t>
      </w:r>
    </w:p>
    <w:p w:rsidR="00B7328A" w:rsidRPr="00B7328A" w:rsidRDefault="00B7328A" w:rsidP="00B7328A">
      <w:pPr>
        <w:numPr>
          <w:ilvl w:val="0"/>
          <w:numId w:val="4"/>
        </w:numPr>
        <w:spacing w:before="100" w:beforeAutospacing="1" w:after="100" w:afterAutospacing="1"/>
        <w:rPr>
          <w:sz w:val="24"/>
        </w:rPr>
      </w:pPr>
      <w:r w:rsidRPr="00B7328A">
        <w:rPr>
          <w:sz w:val="24"/>
        </w:rPr>
        <w:t>Рациональная антимикробная терапия. Руководство для практикующих врачей / под ред. Яковлева В.П., Яковлева С.В. М.: Изд. Литерра, 2003. – 1001 с.</w:t>
      </w:r>
    </w:p>
    <w:p w:rsidR="00B7328A" w:rsidRPr="00B7328A" w:rsidRDefault="00B7328A" w:rsidP="00B7328A">
      <w:pPr>
        <w:numPr>
          <w:ilvl w:val="0"/>
          <w:numId w:val="4"/>
        </w:numPr>
        <w:spacing w:before="100" w:beforeAutospacing="1" w:after="100" w:afterAutospacing="1"/>
        <w:rPr>
          <w:sz w:val="24"/>
        </w:rPr>
      </w:pPr>
      <w:r w:rsidRPr="00B7328A">
        <w:rPr>
          <w:sz w:val="24"/>
        </w:rPr>
        <w:t>Рациональная фармакотерапия заболеваний органов пищеварения. Руководство для практикующих врачей / Под ред. Ивашкина В.Т. М.: Изд. Литерра, 2003. – 1045 с.</w:t>
      </w:r>
    </w:p>
    <w:p w:rsidR="00B7328A" w:rsidRPr="00B7328A" w:rsidRDefault="00B7328A" w:rsidP="00B7328A">
      <w:pPr>
        <w:numPr>
          <w:ilvl w:val="0"/>
          <w:numId w:val="4"/>
        </w:numPr>
        <w:spacing w:before="100" w:beforeAutospacing="1" w:after="100" w:afterAutospacing="1"/>
        <w:rPr>
          <w:sz w:val="24"/>
        </w:rPr>
      </w:pPr>
      <w:r w:rsidRPr="00B7328A">
        <w:rPr>
          <w:sz w:val="24"/>
        </w:rPr>
        <w:t>Ребров В.Г., Громова О.А. Витамины и микроэлементы. М., 2003. – 647 с.</w:t>
      </w:r>
    </w:p>
    <w:p w:rsidR="00B7328A" w:rsidRPr="00B7328A" w:rsidRDefault="00B7328A" w:rsidP="00B7328A">
      <w:pPr>
        <w:pStyle w:val="a5"/>
        <w:widowControl/>
        <w:numPr>
          <w:ilvl w:val="0"/>
          <w:numId w:val="4"/>
        </w:numPr>
        <w:ind w:right="-113"/>
        <w:contextualSpacing w:val="0"/>
        <w:rPr>
          <w:rFonts w:ascii="Times New Roman" w:hAnsi="Times New Roman" w:cs="Times New Roman"/>
        </w:rPr>
      </w:pPr>
      <w:r w:rsidRPr="00B7328A">
        <w:rPr>
          <w:rFonts w:ascii="Times New Roman" w:hAnsi="Times New Roman" w:cs="Times New Roman"/>
        </w:rPr>
        <w:t>Роль пищевых волокон при метаболическом синдроме. Методич. Рекомендации. Сост.: Радченко В.Г. и др. – М., 2011. – 32 с.</w:t>
      </w:r>
    </w:p>
    <w:p w:rsidR="00B7328A" w:rsidRPr="00B7328A" w:rsidRDefault="00B7328A" w:rsidP="00B7328A">
      <w:pPr>
        <w:numPr>
          <w:ilvl w:val="0"/>
          <w:numId w:val="4"/>
        </w:numPr>
        <w:spacing w:before="100" w:beforeAutospacing="1" w:after="100" w:afterAutospacing="1"/>
        <w:rPr>
          <w:sz w:val="24"/>
        </w:rPr>
      </w:pPr>
      <w:r w:rsidRPr="00B7328A">
        <w:rPr>
          <w:sz w:val="24"/>
        </w:rPr>
        <w:t>Сельцовский А.П., Лазебник Л.Б., В.И.Косьяненко, и др. Лечение медом, продуктами пчеловодства и лекарственными травами. М., 2007. – 327 с.</w:t>
      </w:r>
    </w:p>
    <w:p w:rsidR="00B7328A" w:rsidRPr="00B7328A" w:rsidRDefault="00B7328A" w:rsidP="00B7328A">
      <w:pPr>
        <w:pStyle w:val="a5"/>
        <w:widowControl/>
        <w:numPr>
          <w:ilvl w:val="0"/>
          <w:numId w:val="4"/>
        </w:numPr>
        <w:ind w:right="-113"/>
        <w:contextualSpacing w:val="0"/>
        <w:rPr>
          <w:rFonts w:ascii="Times New Roman" w:hAnsi="Times New Roman" w:cs="Times New Roman"/>
        </w:rPr>
      </w:pPr>
      <w:r w:rsidRPr="00B7328A">
        <w:rPr>
          <w:rFonts w:ascii="Times New Roman" w:hAnsi="Times New Roman" w:cs="Times New Roman"/>
        </w:rPr>
        <w:t>Стандарты (протоколы) диагностики и лечения болезней органов пищеварения МЗ РФ. Сост. П.Я.Григорьев, В.Т.Ивашкин, Ф.И.Комаров и др., М.: «Информпресс – 94». 1998. – 44 с.</w:t>
      </w:r>
    </w:p>
    <w:p w:rsidR="00B7328A" w:rsidRPr="00B7328A" w:rsidRDefault="00B7328A" w:rsidP="00B7328A">
      <w:pPr>
        <w:numPr>
          <w:ilvl w:val="0"/>
          <w:numId w:val="4"/>
        </w:numPr>
        <w:spacing w:before="100" w:beforeAutospacing="1" w:after="100" w:afterAutospacing="1"/>
        <w:rPr>
          <w:sz w:val="24"/>
        </w:rPr>
      </w:pPr>
      <w:r w:rsidRPr="00B7328A">
        <w:rPr>
          <w:sz w:val="24"/>
        </w:rPr>
        <w:t>Федеральное руководство для врачей по использованию лекарственных средств (формулярная система). Под редакцией Чучалина А.Г., Вялкова А.И., Белоусова Ю.Б. М., 2001. – 923 с.</w:t>
      </w:r>
    </w:p>
    <w:p w:rsidR="00B7328A" w:rsidRPr="00B7328A" w:rsidRDefault="00B7328A" w:rsidP="00B7328A">
      <w:pPr>
        <w:numPr>
          <w:ilvl w:val="0"/>
          <w:numId w:val="4"/>
        </w:numPr>
        <w:spacing w:before="100" w:beforeAutospacing="1" w:after="100" w:afterAutospacing="1"/>
        <w:rPr>
          <w:sz w:val="24"/>
        </w:rPr>
      </w:pPr>
      <w:r w:rsidRPr="00B7328A">
        <w:rPr>
          <w:sz w:val="24"/>
        </w:rPr>
        <w:t>Шулутко Б.М. Стандарты диагностики и лечения внутренних болезней. СПб.: ООО «Медкнига ЭЛБИ –СПб», 2009. – 699 с.</w:t>
      </w:r>
    </w:p>
    <w:p w:rsidR="00B7328A" w:rsidRDefault="00B7328A" w:rsidP="00B7328A">
      <w:pPr>
        <w:pStyle w:val="a5"/>
        <w:ind w:left="709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Электронные издания</w:t>
      </w:r>
    </w:p>
    <w:p w:rsidR="00B7328A" w:rsidRPr="00C657F9" w:rsidRDefault="00B7328A" w:rsidP="00B7328A">
      <w:pPr>
        <w:pStyle w:val="a5"/>
        <w:ind w:left="709"/>
        <w:rPr>
          <w:sz w:val="22"/>
          <w:szCs w:val="22"/>
        </w:rPr>
      </w:pPr>
      <w:r w:rsidRPr="00C657F9">
        <w:rPr>
          <w:b/>
          <w:bCs/>
          <w:sz w:val="22"/>
          <w:szCs w:val="22"/>
        </w:rPr>
        <w:t>Петров, В.И.</w:t>
      </w:r>
      <w:r w:rsidRPr="00C657F9">
        <w:rPr>
          <w:sz w:val="22"/>
          <w:szCs w:val="22"/>
        </w:rPr>
        <w:t xml:space="preserve"> </w:t>
      </w:r>
      <w:r w:rsidRPr="00C657F9">
        <w:rPr>
          <w:bCs/>
          <w:sz w:val="22"/>
          <w:szCs w:val="22"/>
        </w:rPr>
        <w:t>Гастропротекторы</w:t>
      </w:r>
      <w:r w:rsidRPr="00C657F9">
        <w:rPr>
          <w:sz w:val="22"/>
          <w:szCs w:val="22"/>
        </w:rPr>
        <w:t xml:space="preserve"> [Электронный ресурс] / В.И. Петров, Д.Н. Емельянов, М.Ю. Фролов // Клиническая фармакология: национальное руководство / под ред. Ю.Б. Белоусова, В.Г. Кукеса, В.К. Лепахина, В.И. Петрова. – М.: ГЭОТАР-Медиа, 2011. – Режим доступа: http://www.studmedlib.ru/book/970409169V0091.html</w:t>
      </w:r>
    </w:p>
    <w:p w:rsidR="00B7328A" w:rsidRDefault="00B7328A" w:rsidP="00B7328A">
      <w:pPr>
        <w:autoSpaceDN w:val="0"/>
        <w:adjustRightInd w:val="0"/>
        <w:ind w:left="284"/>
        <w:rPr>
          <w:rFonts w:ascii="Times New Roman CYR" w:hAnsi="Times New Roman CYR" w:cs="Times New Roman CYR"/>
          <w:i/>
          <w:iCs/>
          <w:sz w:val="22"/>
          <w:szCs w:val="22"/>
        </w:rPr>
      </w:pPr>
    </w:p>
    <w:p w:rsidR="00B7328A" w:rsidRPr="003627DA" w:rsidRDefault="00B7328A" w:rsidP="00B7328A">
      <w:pPr>
        <w:autoSpaceDN w:val="0"/>
        <w:adjustRightInd w:val="0"/>
        <w:ind w:left="284"/>
        <w:rPr>
          <w:rFonts w:ascii="Times New Roman CYR" w:hAnsi="Times New Roman CYR" w:cs="Times New Roman CYR"/>
          <w:sz w:val="22"/>
          <w:szCs w:val="22"/>
        </w:rPr>
      </w:pPr>
      <w:r w:rsidRPr="003627DA">
        <w:rPr>
          <w:rFonts w:ascii="Times New Roman CYR" w:hAnsi="Times New Roman CYR" w:cs="Times New Roman CYR"/>
          <w:i/>
          <w:iCs/>
          <w:sz w:val="22"/>
          <w:szCs w:val="22"/>
        </w:rPr>
        <w:t>в) программное обеспечение</w:t>
      </w:r>
      <w:r w:rsidRPr="003627DA">
        <w:rPr>
          <w:rFonts w:ascii="Times New Roman CYR" w:hAnsi="Times New Roman CYR" w:cs="Times New Roman CYR"/>
          <w:sz w:val="22"/>
          <w:szCs w:val="22"/>
        </w:rPr>
        <w:t xml:space="preserve">: </w:t>
      </w:r>
    </w:p>
    <w:p w:rsidR="00B7328A" w:rsidRPr="003627DA" w:rsidRDefault="00B7328A" w:rsidP="00B7328A">
      <w:pPr>
        <w:pStyle w:val="a8"/>
        <w:numPr>
          <w:ilvl w:val="0"/>
          <w:numId w:val="6"/>
        </w:numPr>
        <w:autoSpaceDN w:val="0"/>
        <w:adjustRightInd w:val="0"/>
        <w:jc w:val="both"/>
        <w:rPr>
          <w:sz w:val="22"/>
          <w:szCs w:val="22"/>
        </w:rPr>
      </w:pPr>
      <w:r w:rsidRPr="003627DA">
        <w:rPr>
          <w:color w:val="000000"/>
          <w:sz w:val="22"/>
          <w:szCs w:val="22"/>
          <w:lang w:val="en-US"/>
        </w:rPr>
        <w:t>MedShow</w:t>
      </w:r>
      <w:r w:rsidRPr="003627DA">
        <w:rPr>
          <w:color w:val="000000"/>
          <w:sz w:val="22"/>
          <w:szCs w:val="22"/>
        </w:rPr>
        <w:t xml:space="preserve"> – программа просмотра снимков и рисунков</w:t>
      </w:r>
    </w:p>
    <w:p w:rsidR="00B7328A" w:rsidRPr="003627DA" w:rsidRDefault="00B7328A" w:rsidP="00B7328A">
      <w:pPr>
        <w:pStyle w:val="a8"/>
        <w:numPr>
          <w:ilvl w:val="0"/>
          <w:numId w:val="6"/>
        </w:numPr>
        <w:autoSpaceDN w:val="0"/>
        <w:adjustRightInd w:val="0"/>
        <w:jc w:val="both"/>
        <w:rPr>
          <w:sz w:val="22"/>
          <w:szCs w:val="22"/>
        </w:rPr>
      </w:pPr>
      <w:r w:rsidRPr="003627DA">
        <w:rPr>
          <w:sz w:val="22"/>
          <w:szCs w:val="22"/>
        </w:rPr>
        <w:t xml:space="preserve">программа тестового контроля «Экзаменатор </w:t>
      </w:r>
      <w:r w:rsidRPr="003627DA">
        <w:rPr>
          <w:sz w:val="22"/>
          <w:szCs w:val="22"/>
          <w:lang w:val="en-US"/>
        </w:rPr>
        <w:t>V</w:t>
      </w:r>
      <w:r w:rsidRPr="003627DA">
        <w:rPr>
          <w:sz w:val="22"/>
          <w:szCs w:val="22"/>
        </w:rPr>
        <w:t>.0»</w:t>
      </w:r>
    </w:p>
    <w:p w:rsidR="00B7328A" w:rsidRPr="003627DA" w:rsidRDefault="00B7328A" w:rsidP="00B7328A">
      <w:pPr>
        <w:autoSpaceDN w:val="0"/>
        <w:adjustRightInd w:val="0"/>
        <w:ind w:left="284"/>
        <w:rPr>
          <w:rFonts w:ascii="Times New Roman CYR" w:hAnsi="Times New Roman CYR" w:cs="Times New Roman CYR"/>
          <w:color w:val="000000"/>
          <w:sz w:val="22"/>
          <w:szCs w:val="22"/>
        </w:rPr>
      </w:pPr>
    </w:p>
    <w:p w:rsidR="00B7328A" w:rsidRPr="003627DA" w:rsidRDefault="00B7328A" w:rsidP="00B7328A">
      <w:pPr>
        <w:autoSpaceDN w:val="0"/>
        <w:adjustRightInd w:val="0"/>
        <w:ind w:left="284"/>
        <w:rPr>
          <w:rFonts w:ascii="Times New Roman CYR" w:hAnsi="Times New Roman CYR" w:cs="Times New Roman CYR"/>
          <w:i/>
          <w:iCs/>
          <w:sz w:val="22"/>
          <w:szCs w:val="22"/>
        </w:rPr>
      </w:pPr>
      <w:r w:rsidRPr="003627DA">
        <w:rPr>
          <w:rFonts w:ascii="Times New Roman CYR" w:hAnsi="Times New Roman CYR" w:cs="Times New Roman CYR"/>
          <w:i/>
          <w:iCs/>
          <w:sz w:val="22"/>
          <w:szCs w:val="22"/>
        </w:rPr>
        <w:t>г) базы данных, информационно-справочные системы –</w:t>
      </w:r>
    </w:p>
    <w:p w:rsidR="00B7328A" w:rsidRPr="003627DA" w:rsidRDefault="00B7328A" w:rsidP="00B7328A">
      <w:pPr>
        <w:tabs>
          <w:tab w:val="left" w:pos="360"/>
        </w:tabs>
        <w:rPr>
          <w:sz w:val="22"/>
          <w:szCs w:val="22"/>
        </w:rPr>
      </w:pPr>
      <w:r w:rsidRPr="003627DA">
        <w:rPr>
          <w:sz w:val="22"/>
          <w:szCs w:val="22"/>
        </w:rPr>
        <w:lastRenderedPageBreak/>
        <w:tab/>
        <w:t>1.Эле</w:t>
      </w:r>
      <w:r>
        <w:rPr>
          <w:sz w:val="22"/>
          <w:szCs w:val="22"/>
        </w:rPr>
        <w:t>ктронный каталог библиотеки БГМУ</w:t>
      </w:r>
      <w:r w:rsidRPr="003627DA">
        <w:rPr>
          <w:sz w:val="22"/>
          <w:szCs w:val="22"/>
        </w:rPr>
        <w:t>.</w:t>
      </w:r>
    </w:p>
    <w:p w:rsidR="00B7328A" w:rsidRPr="003627DA" w:rsidRDefault="00B7328A" w:rsidP="00B7328A">
      <w:pPr>
        <w:ind w:firstLine="360"/>
        <w:rPr>
          <w:sz w:val="22"/>
          <w:szCs w:val="22"/>
        </w:rPr>
      </w:pPr>
      <w:r w:rsidRPr="003627DA">
        <w:rPr>
          <w:sz w:val="22"/>
          <w:szCs w:val="22"/>
        </w:rPr>
        <w:t xml:space="preserve">2. Система ГАРАНТ: электронный периодический справочник [Электронный ресурс]. – Электр. дан. (7162 Мб: 473 378 документов). – [Б.и., 199 -]. </w:t>
      </w:r>
    </w:p>
    <w:p w:rsidR="00B7328A" w:rsidRPr="003627DA" w:rsidRDefault="00B7328A" w:rsidP="00B7328A">
      <w:pPr>
        <w:ind w:firstLine="360"/>
        <w:rPr>
          <w:sz w:val="22"/>
          <w:szCs w:val="22"/>
        </w:rPr>
      </w:pPr>
      <w:r w:rsidRPr="003627DA">
        <w:rPr>
          <w:sz w:val="22"/>
          <w:szCs w:val="22"/>
        </w:rPr>
        <w:t xml:space="preserve">3. </w:t>
      </w:r>
      <w:r w:rsidRPr="003627DA">
        <w:rPr>
          <w:sz w:val="22"/>
          <w:szCs w:val="22"/>
          <w:lang w:val="en-US"/>
        </w:rPr>
        <w:t>ConsultantPlus</w:t>
      </w:r>
      <w:r w:rsidRPr="003627DA">
        <w:rPr>
          <w:sz w:val="22"/>
          <w:szCs w:val="22"/>
        </w:rPr>
        <w:t>: справочно - поисковая система [Электронный ресурс]. –  Электр. дан. (733 861 документов) – [Б.и., 199 -].</w:t>
      </w:r>
    </w:p>
    <w:p w:rsidR="00B7328A" w:rsidRPr="003627DA" w:rsidRDefault="00B7328A" w:rsidP="00B7328A">
      <w:pPr>
        <w:pStyle w:val="a8"/>
        <w:ind w:left="360"/>
        <w:rPr>
          <w:sz w:val="22"/>
          <w:szCs w:val="22"/>
        </w:rPr>
      </w:pPr>
      <w:r w:rsidRPr="003627DA">
        <w:rPr>
          <w:sz w:val="22"/>
          <w:szCs w:val="22"/>
        </w:rPr>
        <w:t>4.</w:t>
      </w:r>
      <w:r w:rsidRPr="003627DA">
        <w:rPr>
          <w:b/>
          <w:bCs/>
          <w:sz w:val="22"/>
          <w:szCs w:val="22"/>
        </w:rPr>
        <w:t xml:space="preserve"> </w:t>
      </w:r>
      <w:r w:rsidRPr="003627DA">
        <w:rPr>
          <w:sz w:val="22"/>
          <w:szCs w:val="22"/>
        </w:rPr>
        <w:t>Базы данных, имеющиеся на кафедре и в свободном доступе</w:t>
      </w:r>
    </w:p>
    <w:p w:rsidR="00B7328A" w:rsidRPr="003627DA" w:rsidRDefault="00B7328A" w:rsidP="00B7328A">
      <w:pPr>
        <w:pStyle w:val="a8"/>
        <w:tabs>
          <w:tab w:val="clear" w:pos="4677"/>
          <w:tab w:val="clear" w:pos="9355"/>
        </w:tabs>
        <w:ind w:left="360"/>
        <w:jc w:val="both"/>
        <w:rPr>
          <w:sz w:val="22"/>
          <w:szCs w:val="22"/>
        </w:rPr>
      </w:pPr>
      <w:r w:rsidRPr="003627DA">
        <w:rPr>
          <w:sz w:val="22"/>
          <w:szCs w:val="22"/>
        </w:rPr>
        <w:tab/>
        <w:t>В свете реформирования системы здравоохранения и новых требованиях к медицинскому образованию кафедра для обучения по разделам внутренних болезней и профессиональных болезней предлагает дополнительно следующие доступные Интернет-ресурсы</w:t>
      </w:r>
    </w:p>
    <w:p w:rsidR="00B7328A" w:rsidRPr="00B7328A" w:rsidRDefault="00B7328A" w:rsidP="00B7328A">
      <w:pPr>
        <w:pStyle w:val="2"/>
        <w:jc w:val="center"/>
        <w:rPr>
          <w:rFonts w:ascii="Times New Roman" w:hAnsi="Times New Roman" w:cs="Times New Roman"/>
          <w:b w:val="0"/>
          <w:bCs w:val="0"/>
          <w:i/>
          <w:iCs/>
          <w:color w:val="000000" w:themeColor="text1"/>
          <w:sz w:val="22"/>
          <w:szCs w:val="22"/>
        </w:rPr>
      </w:pPr>
      <w:r w:rsidRPr="00B7328A">
        <w:rPr>
          <w:rFonts w:ascii="Times New Roman" w:hAnsi="Times New Roman" w:cs="Times New Roman"/>
          <w:color w:val="000000" w:themeColor="text1"/>
          <w:sz w:val="22"/>
          <w:szCs w:val="22"/>
        </w:rPr>
        <w:t>Национальные и международные стандарты и консенсусы, Приказы МЗ РФ</w:t>
      </w:r>
    </w:p>
    <w:p w:rsidR="00B7328A" w:rsidRPr="003627DA" w:rsidRDefault="00B7328A" w:rsidP="00B7328A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2"/>
          <w:szCs w:val="22"/>
        </w:rPr>
      </w:pPr>
      <w:r w:rsidRPr="003627DA">
        <w:rPr>
          <w:sz w:val="22"/>
          <w:szCs w:val="22"/>
        </w:rPr>
        <w:t xml:space="preserve">Стандарты оказания медицинской помощи населению РФ 2013. </w:t>
      </w:r>
      <w:hyperlink r:id="rId5" w:history="1">
        <w:r w:rsidRPr="003627DA">
          <w:rPr>
            <w:rStyle w:val="ab"/>
            <w:sz w:val="22"/>
            <w:szCs w:val="22"/>
          </w:rPr>
          <w:t>http://www.ros-med.info/standart-protocol/index.php?id=236&amp;action=standart-tree</w:t>
        </w:r>
      </w:hyperlink>
      <w:r w:rsidRPr="003627DA">
        <w:rPr>
          <w:sz w:val="22"/>
          <w:szCs w:val="22"/>
        </w:rPr>
        <w:t xml:space="preserve"> и  </w:t>
      </w:r>
      <w:hyperlink r:id="rId6" w:history="1">
        <w:r w:rsidRPr="003627DA">
          <w:rPr>
            <w:rStyle w:val="ab"/>
            <w:sz w:val="22"/>
            <w:szCs w:val="22"/>
            <w:lang w:val="en-US"/>
          </w:rPr>
          <w:t>http</w:t>
        </w:r>
        <w:r w:rsidRPr="003627DA">
          <w:rPr>
            <w:rStyle w:val="ab"/>
            <w:sz w:val="22"/>
            <w:szCs w:val="22"/>
          </w:rPr>
          <w:t>://</w:t>
        </w:r>
        <w:r w:rsidRPr="003627DA">
          <w:rPr>
            <w:rStyle w:val="ab"/>
            <w:sz w:val="22"/>
            <w:szCs w:val="22"/>
            <w:lang w:val="en-US"/>
          </w:rPr>
          <w:t>www</w:t>
        </w:r>
        <w:r w:rsidRPr="003627DA">
          <w:rPr>
            <w:rStyle w:val="ab"/>
            <w:sz w:val="22"/>
            <w:szCs w:val="22"/>
          </w:rPr>
          <w:t>.</w:t>
        </w:r>
        <w:r w:rsidRPr="003627DA">
          <w:rPr>
            <w:rStyle w:val="ab"/>
            <w:sz w:val="22"/>
            <w:szCs w:val="22"/>
            <w:lang w:val="en-US"/>
          </w:rPr>
          <w:t>rosminzdrav</w:t>
        </w:r>
        <w:r w:rsidRPr="003627DA">
          <w:rPr>
            <w:rStyle w:val="ab"/>
            <w:sz w:val="22"/>
            <w:szCs w:val="22"/>
          </w:rPr>
          <w:t>.</w:t>
        </w:r>
        <w:r w:rsidRPr="003627DA">
          <w:rPr>
            <w:rStyle w:val="ab"/>
            <w:sz w:val="22"/>
            <w:szCs w:val="22"/>
            <w:lang w:val="en-US"/>
          </w:rPr>
          <w:t>ru</w:t>
        </w:r>
        <w:r w:rsidRPr="003627DA">
          <w:rPr>
            <w:rStyle w:val="ab"/>
            <w:sz w:val="22"/>
            <w:szCs w:val="22"/>
          </w:rPr>
          <w:t>/</w:t>
        </w:r>
        <w:r w:rsidRPr="003627DA">
          <w:rPr>
            <w:rStyle w:val="ab"/>
            <w:sz w:val="22"/>
            <w:szCs w:val="22"/>
            <w:lang w:val="en-US"/>
          </w:rPr>
          <w:t>ministry</w:t>
        </w:r>
        <w:r w:rsidRPr="003627DA">
          <w:rPr>
            <w:rStyle w:val="ab"/>
            <w:sz w:val="22"/>
            <w:szCs w:val="22"/>
          </w:rPr>
          <w:t>/61/22/</w:t>
        </w:r>
        <w:r w:rsidRPr="003627DA">
          <w:rPr>
            <w:rStyle w:val="ab"/>
            <w:sz w:val="22"/>
            <w:szCs w:val="22"/>
            <w:lang w:val="en-US"/>
          </w:rPr>
          <w:t>stranitsa</w:t>
        </w:r>
        <w:r w:rsidRPr="003627DA">
          <w:rPr>
            <w:rStyle w:val="ab"/>
            <w:sz w:val="22"/>
            <w:szCs w:val="22"/>
          </w:rPr>
          <w:t>-979/</w:t>
        </w:r>
        <w:r w:rsidRPr="003627DA">
          <w:rPr>
            <w:rStyle w:val="ab"/>
            <w:sz w:val="22"/>
            <w:szCs w:val="22"/>
            <w:lang w:val="en-US"/>
          </w:rPr>
          <w:t>stranitsa</w:t>
        </w:r>
        <w:r w:rsidRPr="003627DA">
          <w:rPr>
            <w:rStyle w:val="ab"/>
            <w:sz w:val="22"/>
            <w:szCs w:val="22"/>
          </w:rPr>
          <w:t>-983</w:t>
        </w:r>
      </w:hyperlink>
      <w:r w:rsidRPr="003627DA">
        <w:rPr>
          <w:color w:val="0000FF"/>
          <w:sz w:val="22"/>
          <w:szCs w:val="22"/>
        </w:rPr>
        <w:t xml:space="preserve"> </w:t>
      </w:r>
    </w:p>
    <w:p w:rsidR="00B7328A" w:rsidRPr="003627DA" w:rsidRDefault="00B7328A" w:rsidP="00B7328A">
      <w:pPr>
        <w:ind w:left="360"/>
        <w:rPr>
          <w:b/>
          <w:bCs/>
          <w:sz w:val="22"/>
          <w:szCs w:val="22"/>
        </w:rPr>
      </w:pPr>
      <w:r w:rsidRPr="003627DA">
        <w:rPr>
          <w:b/>
          <w:bCs/>
          <w:sz w:val="22"/>
          <w:szCs w:val="22"/>
        </w:rPr>
        <w:t xml:space="preserve">2. Национальные и международные рекомендации по диагностике и лечению заболеваний (на русском языке). </w:t>
      </w:r>
    </w:p>
    <w:p w:rsidR="00B7328A" w:rsidRPr="003627DA" w:rsidRDefault="00B7328A" w:rsidP="00B7328A">
      <w:pPr>
        <w:ind w:firstLine="360"/>
        <w:jc w:val="both"/>
        <w:rPr>
          <w:sz w:val="22"/>
          <w:szCs w:val="22"/>
          <w:lang w:eastAsia="en-US"/>
        </w:rPr>
      </w:pPr>
      <w:r w:rsidRPr="003627DA">
        <w:rPr>
          <w:b/>
          <w:i/>
          <w:sz w:val="22"/>
          <w:szCs w:val="22"/>
          <w:lang w:eastAsia="en-US"/>
        </w:rPr>
        <w:t xml:space="preserve">3. Перечень электронно-библиотечных систем, к которым имеется доступ в </w:t>
      </w:r>
      <w:r>
        <w:rPr>
          <w:b/>
          <w:i/>
          <w:sz w:val="22"/>
          <w:szCs w:val="22"/>
          <w:lang w:eastAsia="en-US"/>
        </w:rPr>
        <w:t>БГМУ</w:t>
      </w:r>
      <w:r w:rsidRPr="003627DA">
        <w:rPr>
          <w:sz w:val="22"/>
          <w:szCs w:val="22"/>
          <w:lang w:eastAsia="en-US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395"/>
        <w:gridCol w:w="5244"/>
      </w:tblGrid>
      <w:tr w:rsidR="00B7328A" w:rsidRPr="008E15EE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A" w:rsidRPr="001546DB" w:rsidRDefault="00B7328A" w:rsidP="00B57814">
            <w:pPr>
              <w:pStyle w:val="a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46DB">
              <w:rPr>
                <w:rFonts w:ascii="Times New Roman" w:hAnsi="Times New Roman" w:cs="Times New Roman"/>
                <w:sz w:val="20"/>
                <w:szCs w:val="20"/>
              </w:rPr>
              <w:t>Библиотеки, в том числе цифровые (электронные) библиотеки, обеспечивающие доступ к профессиональным базам данных, информационным справочным и поисковым системам, а также иным информационным ресурсам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A" w:rsidRPr="001546DB" w:rsidRDefault="00B7328A" w:rsidP="00B57814">
            <w:pPr>
              <w:pStyle w:val="ad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28A" w:rsidRPr="008E15EE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A" w:rsidRPr="001546DB" w:rsidRDefault="00B7328A" w:rsidP="00B57814">
            <w:pPr>
              <w:pStyle w:val="a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Электронно-библиотечная система «Консультант студента» для ВПО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A" w:rsidRPr="001546DB" w:rsidRDefault="00B7328A" w:rsidP="00B57814">
            <w:pPr>
              <w:pStyle w:val="ad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ООО «Институт проблем управления здравоохранением» Государственный контракт №418 от 27.07.2015</w:t>
            </w:r>
            <w:bookmarkStart w:id="0" w:name="_GoBack"/>
            <w:bookmarkEnd w:id="0"/>
            <w:r w:rsidRPr="001546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www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studmedlib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</w:p>
        </w:tc>
      </w:tr>
      <w:tr w:rsidR="00B7328A" w:rsidRPr="008E15EE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A" w:rsidRPr="001546DB" w:rsidRDefault="00B7328A" w:rsidP="00B57814">
            <w:pPr>
              <w:pStyle w:val="ae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Электронно-библиотечная система «Лань»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A" w:rsidRPr="001546DB" w:rsidRDefault="00B7328A" w:rsidP="00B57814">
            <w:pPr>
              <w:pStyle w:val="ad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 xml:space="preserve">НП Национальный электронно-информационный консорциум, государственный контракт № 467 от 28.08.2014 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http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 xml:space="preserve">:// 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elanbook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com</w:t>
            </w:r>
          </w:p>
        </w:tc>
      </w:tr>
      <w:tr w:rsidR="00B7328A" w:rsidRPr="008E15EE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A" w:rsidRPr="008E15EE" w:rsidRDefault="00B7328A" w:rsidP="00B57814">
            <w:r w:rsidRPr="008E15EE">
              <w:t>Электронная учебная библиотека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A" w:rsidRPr="008E15EE" w:rsidRDefault="00B7328A" w:rsidP="00B57814">
            <w:r w:rsidRPr="008E15EE">
              <w:t>ГОУ ВПО Башкирский государственный медицинский университет федерального агентства по здравоохранению и социальному развитию</w:t>
            </w:r>
          </w:p>
          <w:p w:rsidR="00B7328A" w:rsidRPr="008E15EE" w:rsidRDefault="00B7328A" w:rsidP="00B57814">
            <w:r w:rsidRPr="008E15EE">
              <w:t>Свидетельство №2009620253 от 08.05.2009  http://</w:t>
            </w:r>
            <w:r w:rsidRPr="008E15EE">
              <w:rPr>
                <w:lang w:val="en-US"/>
              </w:rPr>
              <w:t>library</w:t>
            </w:r>
            <w:r w:rsidRPr="008E15EE">
              <w:t>.</w:t>
            </w:r>
            <w:r w:rsidRPr="008E15EE">
              <w:rPr>
                <w:lang w:val="en-US"/>
              </w:rPr>
              <w:t>bashgmu</w:t>
            </w:r>
            <w:r w:rsidRPr="008E15EE">
              <w:t>.</w:t>
            </w:r>
            <w:r w:rsidRPr="008E15EE">
              <w:rPr>
                <w:lang w:val="en-US"/>
              </w:rPr>
              <w:t>ru</w:t>
            </w:r>
          </w:p>
        </w:tc>
      </w:tr>
      <w:tr w:rsidR="00B7328A" w:rsidRPr="008E15EE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A" w:rsidRPr="001546DB" w:rsidRDefault="00B7328A" w:rsidP="00B57814">
            <w:pPr>
              <w:pStyle w:val="ae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 xml:space="preserve">Коллекция электронных журналов компании 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Ovid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Lippincott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Proprietary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Title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Collection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A" w:rsidRPr="001546DB" w:rsidRDefault="00B7328A" w:rsidP="00B57814">
            <w:pPr>
              <w:pStyle w:val="ad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ЗАО КОНЭК Государственный контракт №16 от 13.01.2015  http://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ovidsp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ovid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com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</w:tr>
      <w:tr w:rsidR="00B7328A" w:rsidRPr="008E15EE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A" w:rsidRPr="001546DB" w:rsidRDefault="00B7328A" w:rsidP="00B57814">
            <w:pPr>
              <w:pStyle w:val="ae"/>
              <w:spacing w:line="276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БД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научных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медицинских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3D 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иллюстраций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Primal Pictures: Anatomy Premier Library Package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A" w:rsidRPr="001546DB" w:rsidRDefault="00B7328A" w:rsidP="00B57814">
            <w:pPr>
              <w:pStyle w:val="ad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ЗАО КОНЭК Государственный контракт №16 от 13.01.2015  http://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ovidsp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ovid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com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</w:tr>
      <w:tr w:rsidR="00B7328A" w:rsidRPr="008E15EE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A" w:rsidRPr="001546DB" w:rsidRDefault="00B7328A" w:rsidP="00B57814">
            <w:pPr>
              <w:pStyle w:val="ae"/>
              <w:spacing w:line="276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БД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научных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медицинских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3D 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иллюстраций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Primal Pictures: Anatomy and Physiology Online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A" w:rsidRPr="001546DB" w:rsidRDefault="00B7328A" w:rsidP="00B57814">
            <w:pPr>
              <w:pStyle w:val="ad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ЗАО КОНЭК Государственный контракт №16 от 13.01.2015  http://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ovidsp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ovid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com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</w:tr>
      <w:tr w:rsidR="00B7328A" w:rsidRPr="008E15EE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A" w:rsidRPr="001546DB" w:rsidRDefault="00B7328A" w:rsidP="00B57814">
            <w:pPr>
              <w:pStyle w:val="ae"/>
              <w:spacing w:line="276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Коллекция электронных книг по медицине и здравоохранению «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LWW Medical Book Collection 2011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A" w:rsidRPr="001546DB" w:rsidRDefault="00B7328A" w:rsidP="00B57814">
            <w:pPr>
              <w:pStyle w:val="ad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ЗАО КОНЭК, Государственный контракт № 499 от 19.09.2011  http://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ovidsp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ovid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com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</w:tr>
      <w:tr w:rsidR="00B7328A" w:rsidRPr="008E15EE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A" w:rsidRPr="001546DB" w:rsidRDefault="00B7328A" w:rsidP="00B57814">
            <w:pPr>
              <w:pStyle w:val="ae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Консультант Плюс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A" w:rsidRPr="008E15EE" w:rsidRDefault="00B7328A" w:rsidP="00B57814">
            <w:r w:rsidRPr="008E15EE">
              <w:t>ООО Компания Права «Респект» Договор о сотрудничестве от 21.03.2012 локальный доступ</w:t>
            </w:r>
          </w:p>
        </w:tc>
      </w:tr>
    </w:tbl>
    <w:p w:rsidR="00B7328A" w:rsidRDefault="00B7328A" w:rsidP="00B7328A">
      <w:pPr>
        <w:tabs>
          <w:tab w:val="right" w:leader="underscore" w:pos="9639"/>
        </w:tabs>
        <w:spacing w:before="240"/>
        <w:jc w:val="both"/>
        <w:rPr>
          <w:b/>
          <w:bCs/>
          <w:sz w:val="24"/>
        </w:rPr>
      </w:pPr>
      <w:r w:rsidRPr="0010241B">
        <w:rPr>
          <w:b/>
          <w:bCs/>
          <w:sz w:val="24"/>
        </w:rPr>
        <w:t xml:space="preserve">Материально-техническое обеспечение учебной дисциплины (модуля) </w:t>
      </w:r>
    </w:p>
    <w:p w:rsidR="00B7328A" w:rsidRPr="00D467AB" w:rsidRDefault="00B7328A" w:rsidP="00B7328A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B7328A" w:rsidRPr="00D467AB" w:rsidRDefault="00B7328A" w:rsidP="00B7328A">
      <w:pPr>
        <w:numPr>
          <w:ilvl w:val="0"/>
          <w:numId w:val="7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</w:rPr>
      </w:pPr>
      <w:r w:rsidRPr="00D467AB">
        <w:rPr>
          <w:sz w:val="24"/>
        </w:rPr>
        <w:t>аудитории</w:t>
      </w:r>
      <w:r w:rsidRPr="00D467AB">
        <w:rPr>
          <w:color w:val="000000"/>
          <w:sz w:val="24"/>
        </w:rPr>
        <w:t xml:space="preserve">, оборудованные мультимедийными и иными средствами обучения, позволяющими использовать симуляционные технологии, с типовыми наборами </w:t>
      </w:r>
      <w:r w:rsidRPr="00D467AB">
        <w:rPr>
          <w:color w:val="000000"/>
          <w:sz w:val="24"/>
        </w:rPr>
        <w:lastRenderedPageBreak/>
        <w:t>профессиональных моделей и результатов лабораторных и инструментальных исследований в количестве, позволяющем обучающимся осваивать умения и навыки, предусмотренные профессиональной деятельностью, индивидуально;</w:t>
      </w:r>
    </w:p>
    <w:p w:rsidR="00B7328A" w:rsidRPr="00D467AB" w:rsidRDefault="00B7328A" w:rsidP="00B7328A">
      <w:pPr>
        <w:numPr>
          <w:ilvl w:val="0"/>
          <w:numId w:val="7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</w:rPr>
      </w:pPr>
      <w:r w:rsidRPr="00D467AB">
        <w:rPr>
          <w:color w:val="000000"/>
          <w:sz w:val="24"/>
        </w:rPr>
        <w:t>аудитории, оборудованные фантомной и симуляционной техникой, имитирующей медицинские манипуляции и вмешательства, в количестве, позволяющем обучающимся осваивать умения и навыки, предусмотренные профессиональной деятельностью, индивидуально;</w:t>
      </w:r>
    </w:p>
    <w:p w:rsidR="00B7328A" w:rsidRPr="00D467AB" w:rsidRDefault="00B7328A" w:rsidP="00B7328A">
      <w:pPr>
        <w:numPr>
          <w:ilvl w:val="0"/>
          <w:numId w:val="7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</w:rPr>
      </w:pPr>
      <w:r w:rsidRPr="00D467AB">
        <w:rPr>
          <w:color w:val="000000"/>
          <w:sz w:val="24"/>
        </w:rPr>
        <w:t>анатомический зал и (или) помещения, предусмотренные для работы с биологическими моделями;</w:t>
      </w:r>
    </w:p>
    <w:p w:rsidR="00B7328A" w:rsidRPr="00D467AB" w:rsidRDefault="00B7328A" w:rsidP="00B7328A">
      <w:pPr>
        <w:numPr>
          <w:ilvl w:val="0"/>
          <w:numId w:val="7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</w:rPr>
      </w:pPr>
      <w:r w:rsidRPr="00D467AB">
        <w:rPr>
          <w:color w:val="000000"/>
          <w:sz w:val="24"/>
        </w:rPr>
        <w:t xml:space="preserve"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аппарат наркозно-дыхательный, аппарат искусственной вентиляции легких, инфузомат, отсасыватель послеоперационный, дефибриллятор с функцией синхронизации, стол операционный хирургический многофункциональный универсальный, хирургический, микрохирургический инструментарий, универсальная система ранорасширителей с прикреплением к операционному столу, аппарат для мониторирования основных функциональных показателей, анализатор дыхательной смеси, электроэнцефалограф, дефибриллятор с функцией синхронизации,  инструментарий  </w:t>
      </w:r>
      <w:r>
        <w:rPr>
          <w:color w:val="000000"/>
          <w:sz w:val="24"/>
        </w:rPr>
        <w:t xml:space="preserve"> и расходный материал</w:t>
      </w:r>
      <w:r w:rsidRPr="00D467AB">
        <w:rPr>
          <w:color w:val="000000"/>
          <w:sz w:val="24"/>
        </w:rPr>
        <w:t xml:space="preserve">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</w:p>
    <w:p w:rsidR="00B7328A" w:rsidRPr="00D467AB" w:rsidRDefault="00B7328A" w:rsidP="00B7328A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:rsidR="00B7328A" w:rsidRPr="00D467AB" w:rsidRDefault="00B7328A" w:rsidP="00B7328A">
      <w:pPr>
        <w:autoSpaceDE w:val="0"/>
        <w:autoSpaceDN w:val="0"/>
        <w:adjustRightInd w:val="0"/>
        <w:ind w:firstLine="709"/>
        <w:jc w:val="both"/>
        <w:rPr>
          <w:sz w:val="24"/>
        </w:rPr>
      </w:pPr>
    </w:p>
    <w:p w:rsidR="00B7328A" w:rsidRPr="00CE700C" w:rsidRDefault="00B7328A" w:rsidP="00B7328A">
      <w:pPr>
        <w:autoSpaceDE w:val="0"/>
        <w:autoSpaceDN w:val="0"/>
        <w:adjustRightInd w:val="0"/>
        <w:jc w:val="center"/>
        <w:rPr>
          <w:rFonts w:eastAsia="Calibri"/>
          <w:b/>
          <w:sz w:val="24"/>
        </w:rPr>
      </w:pPr>
      <w:r w:rsidRPr="00CE700C">
        <w:rPr>
          <w:rFonts w:eastAsia="Calibri"/>
          <w:b/>
          <w:sz w:val="24"/>
        </w:rPr>
        <w:t>Клинические базы для прохождения клинических практик:</w:t>
      </w:r>
    </w:p>
    <w:p w:rsidR="00B7328A" w:rsidRPr="00AA4CB8" w:rsidRDefault="00B7328A" w:rsidP="00B7328A">
      <w:pPr>
        <w:autoSpaceDE w:val="0"/>
        <w:autoSpaceDN w:val="0"/>
        <w:adjustRightInd w:val="0"/>
        <w:jc w:val="center"/>
        <w:rPr>
          <w:rFonts w:ascii="Calibri" w:eastAsia="Calibri" w:hAnsi="Calibri"/>
          <w:sz w:val="24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1984"/>
        <w:gridCol w:w="6202"/>
      </w:tblGrid>
      <w:tr w:rsidR="00B7328A" w:rsidRPr="00E36B87" w:rsidTr="00B57814">
        <w:tc>
          <w:tcPr>
            <w:tcW w:w="1668" w:type="dxa"/>
            <w:shd w:val="clear" w:color="auto" w:fill="auto"/>
          </w:tcPr>
          <w:p w:rsidR="00B7328A" w:rsidRPr="00CE700C" w:rsidRDefault="00B7328A" w:rsidP="00B5781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sz w:val="20"/>
                <w:szCs w:val="20"/>
              </w:rPr>
              <w:t>Клиническая база</w:t>
            </w:r>
          </w:p>
        </w:tc>
        <w:tc>
          <w:tcPr>
            <w:tcW w:w="1984" w:type="dxa"/>
            <w:shd w:val="clear" w:color="auto" w:fill="auto"/>
          </w:tcPr>
          <w:p w:rsidR="00B7328A" w:rsidRPr="00CE700C" w:rsidRDefault="00B7328A" w:rsidP="00B5781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sz w:val="20"/>
                <w:szCs w:val="20"/>
              </w:rPr>
              <w:t>Адрес</w:t>
            </w:r>
          </w:p>
        </w:tc>
        <w:tc>
          <w:tcPr>
            <w:tcW w:w="6202" w:type="dxa"/>
            <w:shd w:val="clear" w:color="auto" w:fill="auto"/>
          </w:tcPr>
          <w:p w:rsidR="00B7328A" w:rsidRPr="00CE700C" w:rsidRDefault="00B7328A" w:rsidP="00B5781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sz w:val="20"/>
                <w:szCs w:val="20"/>
              </w:rPr>
              <w:t>Описание базы</w:t>
            </w:r>
          </w:p>
        </w:tc>
      </w:tr>
      <w:tr w:rsidR="00B7328A" w:rsidRPr="00CE700C" w:rsidTr="00B57814">
        <w:tc>
          <w:tcPr>
            <w:tcW w:w="1668" w:type="dxa"/>
            <w:shd w:val="clear" w:color="auto" w:fill="auto"/>
          </w:tcPr>
          <w:p w:rsidR="00B7328A" w:rsidRPr="005E7E09" w:rsidRDefault="00B7328A" w:rsidP="00B57814">
            <w:pPr>
              <w:autoSpaceDE w:val="0"/>
              <w:autoSpaceDN w:val="0"/>
              <w:adjustRightInd w:val="0"/>
              <w:jc w:val="both"/>
              <w:rPr>
                <w:rStyle w:val="ac"/>
                <w:rFonts w:eastAsia="Calibri"/>
                <w:b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5E7E09">
              <w:rPr>
                <w:rStyle w:val="ac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Клиника БГМУ,</w:t>
            </w:r>
          </w:p>
          <w:p w:rsidR="00B7328A" w:rsidRPr="005E7E09" w:rsidRDefault="00B7328A" w:rsidP="00B57814">
            <w:pPr>
              <w:autoSpaceDE w:val="0"/>
              <w:autoSpaceDN w:val="0"/>
              <w:adjustRightInd w:val="0"/>
              <w:jc w:val="both"/>
              <w:rPr>
                <w:rStyle w:val="ac"/>
                <w:rFonts w:eastAsia="Calibri"/>
                <w:b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5E7E09">
              <w:rPr>
                <w:rStyle w:val="ac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терапевтические отделения, </w:t>
            </w:r>
          </w:p>
          <w:p w:rsidR="00B7328A" w:rsidRPr="005E7E09" w:rsidRDefault="00B7328A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5E7E09">
              <w:rPr>
                <w:rStyle w:val="ac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обучающий симуляцион-ный центр БГМУ</w:t>
            </w:r>
          </w:p>
        </w:tc>
        <w:tc>
          <w:tcPr>
            <w:tcW w:w="1984" w:type="dxa"/>
            <w:shd w:val="clear" w:color="auto" w:fill="auto"/>
          </w:tcPr>
          <w:p w:rsidR="00B7328A" w:rsidRPr="005E7E09" w:rsidRDefault="00B7328A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5E7E09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г</w:t>
            </w:r>
            <w:r w:rsidRPr="005E7E09">
              <w:rPr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. Уфа,</w:t>
            </w:r>
          </w:p>
          <w:p w:rsidR="00B7328A" w:rsidRPr="005E7E09" w:rsidRDefault="00B7328A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5E7E09">
              <w:rPr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ул. Шафиева, 2.</w:t>
            </w:r>
          </w:p>
        </w:tc>
        <w:tc>
          <w:tcPr>
            <w:tcW w:w="6202" w:type="dxa"/>
            <w:shd w:val="clear" w:color="auto" w:fill="auto"/>
          </w:tcPr>
          <w:p w:rsidR="00B7328A" w:rsidRPr="00CE700C" w:rsidRDefault="00B7328A" w:rsidP="00B57814">
            <w:pPr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 xml:space="preserve">Терапевтические отделения  клиники БГМУ располагаются на 6-9 -м этажах  терапевтического корпуса. Коечный фонд отделений составляет 120 коек. К услугам пациентов предоставляется одноместные, двухместные палаты с высоким уровнем комфортности. Отделение оснащено необходимым оборудованием для организации лечебно- диагностического процесса и оказания высокотехнологической хирургической помощи. </w:t>
            </w:r>
          </w:p>
          <w:p w:rsidR="00B7328A" w:rsidRPr="00CE700C" w:rsidRDefault="00B7328A" w:rsidP="00B57814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Симуляционный центр</w:t>
            </w:r>
            <w:r w:rsidRPr="00CE700C">
              <w:rPr>
                <w:rFonts w:eastAsia="Calibri"/>
                <w:color w:val="4E4E4E"/>
                <w:sz w:val="20"/>
                <w:szCs w:val="20"/>
                <w:shd w:val="clear" w:color="auto" w:fill="FFFFFF"/>
              </w:rPr>
              <w:t xml:space="preserve"> </w:t>
            </w: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общей площадью 375 кв.м., имеет  различные учебные пособия – компьютеризированные робо</w:t>
            </w:r>
            <w:r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ты манекены взрослого человека</w:t>
            </w: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, фантомы для отработки различных практических навыков, медицинское оборудование экспертного класса для проведения ИВЛ и т.д.</w:t>
            </w:r>
            <w:r w:rsidRPr="00CE700C">
              <w:rPr>
                <w:rStyle w:val="apple-converted-space"/>
                <w:rFonts w:eastAsia="Calibri"/>
                <w:color w:val="000000"/>
                <w:sz w:val="20"/>
                <w:szCs w:val="20"/>
                <w:shd w:val="clear" w:color="auto" w:fill="FFFFFF"/>
              </w:rPr>
              <w:t> 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Симуляционный </w:t>
            </w: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 xml:space="preserve"> центр БГМУ  является  полигоном для внедрения в практику самых современных высокотехнологичных методов диагностики и лечения.</w:t>
            </w:r>
          </w:p>
        </w:tc>
      </w:tr>
      <w:tr w:rsidR="00B7328A" w:rsidRPr="00CE700C" w:rsidTr="00B57814">
        <w:tc>
          <w:tcPr>
            <w:tcW w:w="1668" w:type="dxa"/>
            <w:shd w:val="clear" w:color="auto" w:fill="auto"/>
          </w:tcPr>
          <w:p w:rsidR="00B7328A" w:rsidRPr="005E7E09" w:rsidRDefault="00B7328A" w:rsidP="00B57814">
            <w:pPr>
              <w:autoSpaceDE w:val="0"/>
              <w:autoSpaceDN w:val="0"/>
              <w:adjustRightInd w:val="0"/>
              <w:jc w:val="both"/>
              <w:rPr>
                <w:rStyle w:val="ac"/>
                <w:rFonts w:eastAsia="Calibri"/>
                <w:b w:val="0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5E7E09">
              <w:rPr>
                <w:rStyle w:val="ac"/>
                <w:rFonts w:eastAsia="Calibri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ГБУЗ РКБ им. Куватова.</w:t>
            </w:r>
          </w:p>
          <w:p w:rsidR="00B7328A" w:rsidRPr="005E7E09" w:rsidRDefault="00B7328A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5E7E09">
              <w:rPr>
                <w:rStyle w:val="ac"/>
                <w:rFonts w:eastAsia="Calibri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t>Республиканский гастроэнтерологи</w:t>
            </w:r>
            <w:r w:rsidRPr="005E7E09">
              <w:rPr>
                <w:rStyle w:val="ac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t>-</w:t>
            </w:r>
            <w:r w:rsidRPr="005E7E09">
              <w:rPr>
                <w:rStyle w:val="ac"/>
                <w:rFonts w:eastAsia="Calibri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t>ческий центр</w:t>
            </w:r>
          </w:p>
        </w:tc>
        <w:tc>
          <w:tcPr>
            <w:tcW w:w="1984" w:type="dxa"/>
            <w:shd w:val="clear" w:color="auto" w:fill="auto"/>
          </w:tcPr>
          <w:p w:rsidR="00B7328A" w:rsidRPr="005E7E09" w:rsidRDefault="00B7328A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E7E09">
              <w:rPr>
                <w:rStyle w:val="apple-converted-space"/>
                <w:rFonts w:eastAsia="Calibri"/>
                <w:bCs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 </w:t>
            </w:r>
            <w:r w:rsidRPr="005E7E09">
              <w:rPr>
                <w:rStyle w:val="ac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г.Уфа, ул.Достоевского 132</w:t>
            </w:r>
          </w:p>
        </w:tc>
        <w:tc>
          <w:tcPr>
            <w:tcW w:w="6202" w:type="dxa"/>
            <w:shd w:val="clear" w:color="auto" w:fill="auto"/>
          </w:tcPr>
          <w:p w:rsidR="00B7328A" w:rsidRPr="00CE700C" w:rsidRDefault="00B7328A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Республиканский гастроэнтерологический  центр включает в себя стационарное отделение на 60 коек и  2 консультативных приема  в консультативной поликлинике на базе РКБ им. Г.Г. Куватова, оказывает  плановую и экстренную лечебную и диагностическую помощь  больным с заболеваниями органов пищеварения.</w:t>
            </w:r>
          </w:p>
        </w:tc>
      </w:tr>
      <w:tr w:rsidR="00B7328A" w:rsidRPr="00CE700C" w:rsidTr="00B57814">
        <w:tc>
          <w:tcPr>
            <w:tcW w:w="1668" w:type="dxa"/>
            <w:shd w:val="clear" w:color="auto" w:fill="auto"/>
          </w:tcPr>
          <w:p w:rsidR="00B7328A" w:rsidRPr="00CE700C" w:rsidRDefault="00B7328A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ГБУЗ РБ</w:t>
            </w:r>
          </w:p>
          <w:p w:rsidR="00B7328A" w:rsidRPr="00CE700C" w:rsidRDefault="00B7328A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ГКБ №13</w:t>
            </w:r>
          </w:p>
        </w:tc>
        <w:tc>
          <w:tcPr>
            <w:tcW w:w="1984" w:type="dxa"/>
            <w:shd w:val="clear" w:color="auto" w:fill="auto"/>
          </w:tcPr>
          <w:p w:rsidR="00B7328A" w:rsidRPr="00CE700C" w:rsidRDefault="00B7328A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</w:pPr>
            <w:r w:rsidRPr="00CE700C">
              <w:rPr>
                <w:rStyle w:val="apple-converted-space"/>
                <w:rFonts w:eastAsia="Calibri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 xml:space="preserve">г.Уфа, </w:t>
            </w:r>
          </w:p>
          <w:p w:rsidR="00B7328A" w:rsidRPr="00CE700C" w:rsidRDefault="00B7328A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ул.Нежинская 28</w:t>
            </w:r>
          </w:p>
        </w:tc>
        <w:tc>
          <w:tcPr>
            <w:tcW w:w="6202" w:type="dxa"/>
            <w:shd w:val="clear" w:color="auto" w:fill="auto"/>
          </w:tcPr>
          <w:p w:rsidR="00B7328A" w:rsidRPr="00CE700C" w:rsidRDefault="00B7328A" w:rsidP="00B57814">
            <w:pPr>
              <w:pStyle w:val="aa"/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E700C">
              <w:rPr>
                <w:color w:val="000000"/>
                <w:sz w:val="20"/>
                <w:szCs w:val="20"/>
              </w:rPr>
              <w:t xml:space="preserve">Гастроэнтерологическое отделение ГБУЗ РБ ГКБ N 13 г.Уфа расположено на 8-ом этаже 9-ти этажного терапевтического корпуса. Госпитализация больных проводится в 2-4-х местные благоустроенные палаты, где созданы все условия для лечения и </w:t>
            </w:r>
            <w:r w:rsidRPr="00CE700C">
              <w:rPr>
                <w:color w:val="000000"/>
                <w:sz w:val="20"/>
                <w:szCs w:val="20"/>
              </w:rPr>
              <w:lastRenderedPageBreak/>
              <w:t>восстановления здоровья больных. Гастроэнтерологическое отделение ГБУЗ РБ ГКБ N 13 г.Уфа оказывает плановую и экстренную лечебную помощь больным с заболеваниями органов пищеварения. Отделение развернуто на 67 коек.</w:t>
            </w:r>
          </w:p>
        </w:tc>
      </w:tr>
      <w:tr w:rsidR="00B7328A" w:rsidRPr="00CE700C" w:rsidTr="00B57814">
        <w:tc>
          <w:tcPr>
            <w:tcW w:w="1668" w:type="dxa"/>
            <w:shd w:val="clear" w:color="auto" w:fill="auto"/>
          </w:tcPr>
          <w:p w:rsidR="00B7328A" w:rsidRPr="00CE700C" w:rsidRDefault="00B7328A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lastRenderedPageBreak/>
              <w:t>ГБУЗ РБ</w:t>
            </w:r>
          </w:p>
          <w:p w:rsidR="00B7328A" w:rsidRPr="00CE700C" w:rsidRDefault="00B7328A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ГКБ №21</w:t>
            </w:r>
          </w:p>
        </w:tc>
        <w:tc>
          <w:tcPr>
            <w:tcW w:w="1984" w:type="dxa"/>
            <w:shd w:val="clear" w:color="auto" w:fill="auto"/>
          </w:tcPr>
          <w:p w:rsidR="00B7328A" w:rsidRPr="00CE700C" w:rsidRDefault="00B7328A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г.Уфа,</w:t>
            </w:r>
          </w:p>
          <w:p w:rsidR="00B7328A" w:rsidRPr="00CE700C" w:rsidRDefault="00B7328A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ул.Лесной проезд, 3.</w:t>
            </w:r>
          </w:p>
        </w:tc>
        <w:tc>
          <w:tcPr>
            <w:tcW w:w="6202" w:type="dxa"/>
            <w:shd w:val="clear" w:color="auto" w:fill="auto"/>
          </w:tcPr>
          <w:p w:rsidR="00B7328A" w:rsidRPr="00CE700C" w:rsidRDefault="00B7328A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sz w:val="20"/>
                <w:szCs w:val="20"/>
              </w:rPr>
              <w:t>Отделение гастроэнтерологии развернуто на 60 коек круглосуточного и 4 койки дневного стационара. Имеется 19 палат,из них 12-пятиместные, а также палаты повышенной комфортности.</w:t>
            </w:r>
            <w:r w:rsidRPr="00CE700C">
              <w:rPr>
                <w:rFonts w:eastAsia="Calibri"/>
                <w:color w:val="000000"/>
                <w:sz w:val="20"/>
                <w:szCs w:val="20"/>
              </w:rPr>
              <w:t xml:space="preserve"> Гастроэнтерологическое отделение  оказывает плановую и экстренную лечебную помощь больным с заболеваниями органов пищеварения.</w:t>
            </w:r>
          </w:p>
        </w:tc>
      </w:tr>
    </w:tbl>
    <w:p w:rsidR="00B7328A" w:rsidRDefault="00B7328A" w:rsidP="00B7328A">
      <w:pPr>
        <w:autoSpaceDE w:val="0"/>
        <w:autoSpaceDN w:val="0"/>
        <w:adjustRightInd w:val="0"/>
        <w:ind w:firstLine="709"/>
        <w:jc w:val="both"/>
        <w:rPr>
          <w:rFonts w:eastAsia="Calibri"/>
          <w:sz w:val="20"/>
          <w:szCs w:val="20"/>
        </w:rPr>
      </w:pPr>
    </w:p>
    <w:p w:rsidR="00B7328A" w:rsidRDefault="00B7328A" w:rsidP="00B7328A">
      <w:pPr>
        <w:autoSpaceDE w:val="0"/>
        <w:autoSpaceDN w:val="0"/>
        <w:adjustRightInd w:val="0"/>
        <w:ind w:firstLine="709"/>
        <w:jc w:val="both"/>
        <w:rPr>
          <w:rFonts w:eastAsia="Calibri"/>
          <w:sz w:val="20"/>
          <w:szCs w:val="20"/>
        </w:rPr>
      </w:pPr>
    </w:p>
    <w:p w:rsidR="00B7328A" w:rsidRPr="00D467AB" w:rsidRDefault="00B7328A" w:rsidP="00B7328A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Организация обеспечена необходимым комплектом лицензионного программного обеспечения (состав определяется в рабочих программах дисциплин (модулей) и подлежит ежегодному обновлению).</w:t>
      </w:r>
    </w:p>
    <w:p w:rsidR="00B7328A" w:rsidRPr="00D467AB" w:rsidRDefault="00B7328A" w:rsidP="00B7328A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Электронно-библиотечные системы (электронная библиотека) и электронная информационно-образовательная среда обеспечивают одновременный доступ не менее 25 процентов обучающихся по программе ординатуры.</w:t>
      </w:r>
    </w:p>
    <w:p w:rsidR="00B7328A" w:rsidRPr="00D467AB" w:rsidRDefault="00B7328A" w:rsidP="00B7328A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</w:p>
    <w:p w:rsidR="00B7328A" w:rsidRPr="0010241B" w:rsidRDefault="00B7328A" w:rsidP="00B7328A">
      <w:pPr>
        <w:widowControl w:val="0"/>
        <w:spacing w:before="240"/>
        <w:jc w:val="center"/>
        <w:rPr>
          <w:color w:val="081E3C"/>
          <w:sz w:val="24"/>
        </w:rPr>
      </w:pPr>
      <w:r w:rsidRPr="0010241B">
        <w:rPr>
          <w:b/>
          <w:sz w:val="24"/>
        </w:rPr>
        <w:t>Методические рекомендации по организации изучения дисциплины:</w:t>
      </w:r>
    </w:p>
    <w:p w:rsidR="00B7328A" w:rsidRPr="0010241B" w:rsidRDefault="00B7328A" w:rsidP="00B7328A">
      <w:pPr>
        <w:widowControl w:val="0"/>
        <w:tabs>
          <w:tab w:val="left" w:pos="708"/>
        </w:tabs>
        <w:spacing w:before="60"/>
        <w:jc w:val="both"/>
        <w:rPr>
          <w:sz w:val="24"/>
        </w:rPr>
      </w:pPr>
      <w:r w:rsidRPr="0010241B">
        <w:rPr>
          <w:sz w:val="24"/>
        </w:rPr>
        <w:t>Обучение складывается из аудиторных занятий (</w:t>
      </w:r>
      <w:r>
        <w:rPr>
          <w:sz w:val="24"/>
        </w:rPr>
        <w:t xml:space="preserve">48 </w:t>
      </w:r>
      <w:r w:rsidRPr="0010241B">
        <w:rPr>
          <w:sz w:val="24"/>
        </w:rPr>
        <w:t>час.), включающих лекционный курс и практические занятия, самостоятельную работу (</w:t>
      </w:r>
      <w:r>
        <w:rPr>
          <w:sz w:val="24"/>
        </w:rPr>
        <w:t>24час.)</w:t>
      </w:r>
      <w:r w:rsidRPr="0010241B">
        <w:rPr>
          <w:sz w:val="24"/>
        </w:rPr>
        <w:t xml:space="preserve">. Основное учебное время выделяется на практическую работу по </w:t>
      </w:r>
      <w:r>
        <w:rPr>
          <w:sz w:val="24"/>
        </w:rPr>
        <w:t xml:space="preserve">специальности </w:t>
      </w:r>
      <w:r>
        <w:rPr>
          <w:bCs/>
          <w:sz w:val="24"/>
        </w:rPr>
        <w:t>31.08.28</w:t>
      </w:r>
      <w:r w:rsidRPr="00565FE0">
        <w:rPr>
          <w:bCs/>
          <w:sz w:val="24"/>
        </w:rPr>
        <w:t xml:space="preserve"> – </w:t>
      </w:r>
      <w:r>
        <w:rPr>
          <w:bCs/>
          <w:sz w:val="24"/>
        </w:rPr>
        <w:t xml:space="preserve"> Гастроэнтерология</w:t>
      </w:r>
    </w:p>
    <w:p w:rsidR="00B7328A" w:rsidRPr="0010241B" w:rsidRDefault="00B7328A" w:rsidP="00B7328A">
      <w:pPr>
        <w:widowControl w:val="0"/>
        <w:tabs>
          <w:tab w:val="left" w:pos="708"/>
        </w:tabs>
        <w:spacing w:before="60"/>
        <w:jc w:val="both"/>
        <w:rPr>
          <w:sz w:val="24"/>
        </w:rPr>
      </w:pPr>
      <w:r w:rsidRPr="0010241B">
        <w:rPr>
          <w:sz w:val="24"/>
        </w:rPr>
        <w:t xml:space="preserve">Практические занятия проводятся в виде </w:t>
      </w:r>
      <w:r>
        <w:rPr>
          <w:sz w:val="24"/>
        </w:rPr>
        <w:t xml:space="preserve">аудиторных занятий </w:t>
      </w:r>
      <w:r w:rsidRPr="0010241B">
        <w:rPr>
          <w:sz w:val="24"/>
        </w:rPr>
        <w:t>использовани</w:t>
      </w:r>
      <w:r>
        <w:rPr>
          <w:sz w:val="24"/>
        </w:rPr>
        <w:t>ем</w:t>
      </w:r>
      <w:r w:rsidRPr="0010241B">
        <w:rPr>
          <w:sz w:val="24"/>
        </w:rPr>
        <w:t xml:space="preserve"> наглядных пособий, решени</w:t>
      </w:r>
      <w:r>
        <w:rPr>
          <w:sz w:val="24"/>
        </w:rPr>
        <w:t>ем</w:t>
      </w:r>
      <w:r w:rsidRPr="0010241B">
        <w:rPr>
          <w:sz w:val="24"/>
        </w:rPr>
        <w:t xml:space="preserve"> ситуационных задач, ответов на тестовые задания, клинических разборов, участия в консилиумах, научно- практических конференциях врачей. Заседания научно-практических врачебных обществ, мастер-классы со специалистами практического здравоохранения, семинары с экспертами по актуальным вопросам в разных областях здравоохранения, встречи с представителями российских и зарубежных компаний. </w:t>
      </w:r>
    </w:p>
    <w:p w:rsidR="00B7328A" w:rsidRDefault="00B7328A" w:rsidP="00B7328A">
      <w:pPr>
        <w:widowControl w:val="0"/>
        <w:tabs>
          <w:tab w:val="left" w:pos="708"/>
        </w:tabs>
        <w:spacing w:before="60"/>
        <w:jc w:val="both"/>
        <w:rPr>
          <w:sz w:val="24"/>
        </w:rPr>
      </w:pPr>
      <w:r w:rsidRPr="0010241B">
        <w:rPr>
          <w:sz w:val="24"/>
        </w:rPr>
        <w:t xml:space="preserve">Работа с учебной литературой рассматривается как вид учебной работы по дисциплине </w:t>
      </w:r>
      <w:r>
        <w:rPr>
          <w:bCs/>
          <w:sz w:val="24"/>
        </w:rPr>
        <w:t>Гастроэнтерология</w:t>
      </w:r>
      <w:r w:rsidRPr="0010241B">
        <w:rPr>
          <w:sz w:val="24"/>
        </w:rPr>
        <w:t xml:space="preserve"> и выполняется в пределах часов, отводимых на её изучение </w:t>
      </w:r>
    </w:p>
    <w:p w:rsidR="00B7328A" w:rsidRPr="0010241B" w:rsidRDefault="00B7328A" w:rsidP="00B7328A">
      <w:pPr>
        <w:widowControl w:val="0"/>
        <w:tabs>
          <w:tab w:val="left" w:pos="708"/>
        </w:tabs>
        <w:spacing w:before="60"/>
        <w:jc w:val="both"/>
        <w:rPr>
          <w:sz w:val="24"/>
        </w:rPr>
      </w:pPr>
      <w:r w:rsidRPr="0010241B">
        <w:rPr>
          <w:sz w:val="24"/>
        </w:rPr>
        <w:t>(в разделе СР</w:t>
      </w:r>
      <w:r>
        <w:rPr>
          <w:sz w:val="24"/>
        </w:rPr>
        <w:t>О</w:t>
      </w:r>
      <w:r w:rsidRPr="0010241B">
        <w:rPr>
          <w:sz w:val="24"/>
        </w:rPr>
        <w:t xml:space="preserve">). </w:t>
      </w:r>
    </w:p>
    <w:p w:rsidR="00B7328A" w:rsidRPr="0010241B" w:rsidRDefault="00B7328A" w:rsidP="00B7328A">
      <w:pPr>
        <w:widowControl w:val="0"/>
        <w:tabs>
          <w:tab w:val="left" w:pos="708"/>
        </w:tabs>
        <w:spacing w:before="60"/>
        <w:jc w:val="both"/>
        <w:rPr>
          <w:sz w:val="24"/>
        </w:rPr>
      </w:pPr>
      <w:r w:rsidRPr="0010241B">
        <w:rPr>
          <w:sz w:val="24"/>
        </w:rPr>
        <w:t>Каждый обучающийся обеспечен доступом к библиотечным фондам Университета и кафедры.</w:t>
      </w:r>
    </w:p>
    <w:p w:rsidR="00B7328A" w:rsidRPr="0010241B" w:rsidRDefault="00B7328A" w:rsidP="00B7328A">
      <w:pPr>
        <w:widowControl w:val="0"/>
        <w:spacing w:before="60"/>
        <w:jc w:val="both"/>
        <w:rPr>
          <w:sz w:val="24"/>
        </w:rPr>
      </w:pPr>
      <w:r w:rsidRPr="0010241B">
        <w:rPr>
          <w:sz w:val="24"/>
        </w:rPr>
        <w:t xml:space="preserve">По каждому разделу учебной дисциплины разработаны методические рекомендации для ординаторов и методические указания для преподавателей. </w:t>
      </w:r>
    </w:p>
    <w:p w:rsidR="00B7328A" w:rsidRPr="0010241B" w:rsidRDefault="00B7328A" w:rsidP="00B7328A">
      <w:pPr>
        <w:widowControl w:val="0"/>
        <w:spacing w:before="60"/>
        <w:jc w:val="both"/>
        <w:rPr>
          <w:sz w:val="24"/>
        </w:rPr>
      </w:pPr>
      <w:r w:rsidRPr="0010241B">
        <w:rPr>
          <w:sz w:val="24"/>
        </w:rPr>
        <w:t>Исходный уровень знаний ординаторов определяется тестированием, текущий контроль усвоения предмета определяется устным опросом в ходе занятий, во время клинических разборов, при решении типовых ситуационных задач и ответах на тестовые задания.</w:t>
      </w:r>
    </w:p>
    <w:p w:rsidR="00B7328A" w:rsidRPr="0010241B" w:rsidRDefault="00B7328A" w:rsidP="00B7328A">
      <w:pPr>
        <w:widowControl w:val="0"/>
        <w:spacing w:before="60"/>
        <w:jc w:val="both"/>
        <w:rPr>
          <w:color w:val="000000"/>
          <w:sz w:val="24"/>
        </w:rPr>
      </w:pPr>
      <w:r w:rsidRPr="0010241B">
        <w:rPr>
          <w:color w:val="000000"/>
          <w:sz w:val="24"/>
        </w:rPr>
        <w:t>Вопросы по учебной дисциплине (модулю</w:t>
      </w:r>
      <w:r>
        <w:rPr>
          <w:color w:val="000000"/>
          <w:sz w:val="24"/>
        </w:rPr>
        <w:t xml:space="preserve"> </w:t>
      </w:r>
      <w:r w:rsidR="006227D0">
        <w:rPr>
          <w:bCs/>
          <w:sz w:val="24"/>
        </w:rPr>
        <w:t>Клиническая фармакология</w:t>
      </w:r>
      <w:r>
        <w:rPr>
          <w:bCs/>
          <w:sz w:val="24"/>
        </w:rPr>
        <w:t>)</w:t>
      </w:r>
      <w:r w:rsidRPr="0010241B">
        <w:rPr>
          <w:color w:val="000000"/>
          <w:sz w:val="24"/>
        </w:rPr>
        <w:t xml:space="preserve"> включены в Государственную итоговую аттестацию по программе ординатуры </w:t>
      </w:r>
      <w:r>
        <w:rPr>
          <w:sz w:val="24"/>
        </w:rPr>
        <w:t xml:space="preserve">специальности </w:t>
      </w:r>
      <w:r>
        <w:rPr>
          <w:bCs/>
          <w:sz w:val="24"/>
        </w:rPr>
        <w:t>31.08.28</w:t>
      </w:r>
      <w:r w:rsidRPr="00565FE0">
        <w:rPr>
          <w:bCs/>
          <w:sz w:val="24"/>
        </w:rPr>
        <w:t xml:space="preserve"> –</w:t>
      </w:r>
      <w:r w:rsidRPr="009176CB">
        <w:rPr>
          <w:bCs/>
          <w:sz w:val="24"/>
        </w:rPr>
        <w:t xml:space="preserve"> </w:t>
      </w:r>
      <w:r>
        <w:rPr>
          <w:bCs/>
          <w:sz w:val="24"/>
        </w:rPr>
        <w:t>Гастроэнтерология</w:t>
      </w:r>
      <w:r w:rsidRPr="00565FE0">
        <w:rPr>
          <w:bCs/>
          <w:sz w:val="24"/>
        </w:rPr>
        <w:t xml:space="preserve"> </w:t>
      </w:r>
      <w:r>
        <w:rPr>
          <w:bCs/>
          <w:sz w:val="24"/>
        </w:rPr>
        <w:t xml:space="preserve"> </w:t>
      </w:r>
      <w:r w:rsidRPr="0010241B">
        <w:rPr>
          <w:color w:val="000000"/>
          <w:sz w:val="24"/>
        </w:rPr>
        <w:t xml:space="preserve"> (уровень подготовки кадров высшей квалификации).</w:t>
      </w:r>
    </w:p>
    <w:p w:rsidR="00B7328A" w:rsidRPr="0010241B" w:rsidRDefault="00B7328A" w:rsidP="00B7328A">
      <w:pPr>
        <w:jc w:val="both"/>
        <w:rPr>
          <w:sz w:val="24"/>
        </w:rPr>
      </w:pPr>
      <w:r w:rsidRPr="0010241B">
        <w:rPr>
          <w:sz w:val="24"/>
        </w:rPr>
        <w:t xml:space="preserve"> </w:t>
      </w:r>
    </w:p>
    <w:p w:rsidR="00B7328A" w:rsidRPr="00E77D81" w:rsidRDefault="00B7328A" w:rsidP="00B7328A">
      <w:pPr>
        <w:spacing w:before="100" w:beforeAutospacing="1" w:after="100" w:afterAutospacing="1"/>
        <w:ind w:left="709"/>
        <w:rPr>
          <w:sz w:val="22"/>
          <w:szCs w:val="22"/>
        </w:rPr>
      </w:pPr>
    </w:p>
    <w:p w:rsidR="00B7328A" w:rsidRPr="005E7E09" w:rsidRDefault="00B7328A" w:rsidP="00B7328A">
      <w:pPr>
        <w:rPr>
          <w:sz w:val="20"/>
          <w:szCs w:val="20"/>
        </w:rPr>
      </w:pPr>
    </w:p>
    <w:p w:rsidR="00B7328A" w:rsidRPr="003627DA" w:rsidRDefault="00B7328A" w:rsidP="00B7328A">
      <w:pPr>
        <w:pStyle w:val="aa"/>
        <w:shd w:val="clear" w:color="auto" w:fill="FFFFFF"/>
        <w:ind w:left="1080"/>
        <w:jc w:val="both"/>
        <w:rPr>
          <w:rStyle w:val="ac"/>
          <w:sz w:val="22"/>
          <w:szCs w:val="22"/>
        </w:rPr>
      </w:pPr>
    </w:p>
    <w:p w:rsidR="00B7328A" w:rsidRPr="00B7328A" w:rsidRDefault="00B7328A" w:rsidP="00B7328A">
      <w:pPr>
        <w:rPr>
          <w:sz w:val="24"/>
        </w:rPr>
      </w:pPr>
    </w:p>
    <w:sectPr w:rsidR="00B7328A" w:rsidRPr="00B7328A" w:rsidSect="00471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DDA781E"/>
    <w:lvl w:ilvl="0">
      <w:numFmt w:val="bullet"/>
      <w:pStyle w:val="1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1ACB1D8B"/>
    <w:multiLevelType w:val="hybridMultilevel"/>
    <w:tmpl w:val="27D20E9E"/>
    <w:lvl w:ilvl="0" w:tplc="129E8384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C463A40"/>
    <w:multiLevelType w:val="hybridMultilevel"/>
    <w:tmpl w:val="E5DCE928"/>
    <w:lvl w:ilvl="0" w:tplc="0B783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54C1877"/>
    <w:multiLevelType w:val="hybridMultilevel"/>
    <w:tmpl w:val="6C8CA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71293"/>
    <w:multiLevelType w:val="hybridMultilevel"/>
    <w:tmpl w:val="70E2ED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5301C9B"/>
    <w:multiLevelType w:val="hybridMultilevel"/>
    <w:tmpl w:val="E58A63A6"/>
    <w:lvl w:ilvl="0" w:tplc="CD6E6FC2">
      <w:start w:val="1"/>
      <w:numFmt w:val="decimal"/>
      <w:lvlText w:val="%1."/>
      <w:lvlJc w:val="left"/>
      <w:pPr>
        <w:tabs>
          <w:tab w:val="num" w:pos="1125"/>
        </w:tabs>
        <w:ind w:left="1125" w:hanging="765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647F"/>
    <w:rsid w:val="000010A8"/>
    <w:rsid w:val="00077932"/>
    <w:rsid w:val="00153A1A"/>
    <w:rsid w:val="001920E4"/>
    <w:rsid w:val="00422502"/>
    <w:rsid w:val="00471682"/>
    <w:rsid w:val="004B5382"/>
    <w:rsid w:val="005F7A82"/>
    <w:rsid w:val="005F7EB0"/>
    <w:rsid w:val="006227D0"/>
    <w:rsid w:val="006505A7"/>
    <w:rsid w:val="00690BA0"/>
    <w:rsid w:val="006C0FF9"/>
    <w:rsid w:val="007442C8"/>
    <w:rsid w:val="007E0AFD"/>
    <w:rsid w:val="008B7814"/>
    <w:rsid w:val="00902AD7"/>
    <w:rsid w:val="00A61C7C"/>
    <w:rsid w:val="00B6072D"/>
    <w:rsid w:val="00B7328A"/>
    <w:rsid w:val="00BA702D"/>
    <w:rsid w:val="00D13255"/>
    <w:rsid w:val="00DF647F"/>
    <w:rsid w:val="00E87CF5"/>
    <w:rsid w:val="00EA1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47F"/>
    <w:pPr>
      <w:jc w:val="left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647F"/>
    <w:pPr>
      <w:keepNext/>
      <w:numPr>
        <w:numId w:val="2"/>
      </w:numPr>
      <w:outlineLvl w:val="0"/>
    </w:pPr>
    <w:rPr>
      <w:sz w:val="28"/>
      <w:szCs w:val="20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328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647F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21">
    <w:name w:val="Основной текст (2)_"/>
    <w:link w:val="210"/>
    <w:uiPriority w:val="99"/>
    <w:rsid w:val="00B7328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B7328A"/>
    <w:pPr>
      <w:widowControl w:val="0"/>
      <w:shd w:val="clear" w:color="auto" w:fill="FFFFFF"/>
      <w:spacing w:before="300" w:line="274" w:lineRule="exact"/>
      <w:ind w:hanging="300"/>
      <w:jc w:val="both"/>
    </w:pPr>
    <w:rPr>
      <w:b/>
      <w:bCs/>
      <w:sz w:val="22"/>
      <w:szCs w:val="22"/>
      <w:lang w:eastAsia="en-US"/>
    </w:rPr>
  </w:style>
  <w:style w:type="character" w:customStyle="1" w:styleId="11">
    <w:name w:val="Основной текст Знак1"/>
    <w:basedOn w:val="a0"/>
    <w:uiPriority w:val="99"/>
    <w:locked/>
    <w:rsid w:val="00B7328A"/>
    <w:rPr>
      <w:rFonts w:ascii="Times New Roman" w:hAnsi="Times New Roman" w:cs="Times New Roman"/>
      <w:sz w:val="23"/>
      <w:szCs w:val="23"/>
      <w:u w:val="none"/>
    </w:rPr>
  </w:style>
  <w:style w:type="character" w:customStyle="1" w:styleId="a3">
    <w:name w:val="Основной текст + Полужирный"/>
    <w:basedOn w:val="11"/>
    <w:rsid w:val="00B7328A"/>
    <w:rPr>
      <w:b/>
      <w:bCs/>
    </w:rPr>
  </w:style>
  <w:style w:type="table" w:styleId="a4">
    <w:name w:val="Table Grid"/>
    <w:basedOn w:val="a1"/>
    <w:uiPriority w:val="59"/>
    <w:rsid w:val="00B73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qFormat/>
    <w:rsid w:val="00B7328A"/>
    <w:pPr>
      <w:widowControl w:val="0"/>
      <w:ind w:left="720"/>
      <w:contextualSpacing/>
    </w:pPr>
    <w:rPr>
      <w:rFonts w:ascii="Courier New" w:hAnsi="Courier New" w:cs="Courier New"/>
      <w:color w:val="000000"/>
      <w:sz w:val="24"/>
    </w:rPr>
  </w:style>
  <w:style w:type="paragraph" w:styleId="a6">
    <w:name w:val="Plain Text"/>
    <w:basedOn w:val="a"/>
    <w:link w:val="a7"/>
    <w:rsid w:val="00B7328A"/>
    <w:pPr>
      <w:jc w:val="right"/>
    </w:pPr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B7328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732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8">
    <w:name w:val="footer"/>
    <w:basedOn w:val="a"/>
    <w:link w:val="a9"/>
    <w:rsid w:val="00B7328A"/>
    <w:pPr>
      <w:widowControl w:val="0"/>
      <w:tabs>
        <w:tab w:val="center" w:pos="4677"/>
        <w:tab w:val="right" w:pos="9355"/>
      </w:tabs>
      <w:autoSpaceDE w:val="0"/>
    </w:pPr>
    <w:rPr>
      <w:sz w:val="20"/>
      <w:szCs w:val="20"/>
      <w:lang w:eastAsia="zh-CN"/>
    </w:rPr>
  </w:style>
  <w:style w:type="character" w:customStyle="1" w:styleId="a9">
    <w:name w:val="Нижний колонтитул Знак"/>
    <w:basedOn w:val="a0"/>
    <w:link w:val="a8"/>
    <w:rsid w:val="00B7328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a">
    <w:name w:val="Normal (Web)"/>
    <w:basedOn w:val="a"/>
    <w:uiPriority w:val="99"/>
    <w:rsid w:val="00B7328A"/>
    <w:pPr>
      <w:spacing w:before="100" w:beforeAutospacing="1" w:after="100" w:afterAutospacing="1"/>
    </w:pPr>
    <w:rPr>
      <w:sz w:val="24"/>
    </w:rPr>
  </w:style>
  <w:style w:type="character" w:styleId="ab">
    <w:name w:val="Hyperlink"/>
    <w:basedOn w:val="a0"/>
    <w:rsid w:val="00B7328A"/>
    <w:rPr>
      <w:color w:val="000000"/>
      <w:u w:val="single"/>
    </w:rPr>
  </w:style>
  <w:style w:type="character" w:styleId="ac">
    <w:name w:val="Strong"/>
    <w:basedOn w:val="a0"/>
    <w:uiPriority w:val="22"/>
    <w:qFormat/>
    <w:rsid w:val="00B7328A"/>
    <w:rPr>
      <w:b/>
      <w:bCs/>
    </w:rPr>
  </w:style>
  <w:style w:type="paragraph" w:customStyle="1" w:styleId="ad">
    <w:name w:val="Нормальный (таблица)"/>
    <w:basedOn w:val="a"/>
    <w:next w:val="a"/>
    <w:rsid w:val="00B7328A"/>
    <w:pPr>
      <w:widowControl w:val="0"/>
      <w:autoSpaceDE w:val="0"/>
      <w:autoSpaceDN w:val="0"/>
      <w:adjustRightInd w:val="0"/>
      <w:jc w:val="both"/>
    </w:pPr>
    <w:rPr>
      <w:rFonts w:ascii="Arial" w:hAnsi="Arial" w:cs="Arial"/>
      <w:szCs w:val="26"/>
    </w:rPr>
  </w:style>
  <w:style w:type="paragraph" w:customStyle="1" w:styleId="ae">
    <w:name w:val="Прижатый влево"/>
    <w:basedOn w:val="a"/>
    <w:next w:val="a"/>
    <w:rsid w:val="00B7328A"/>
    <w:pPr>
      <w:widowControl w:val="0"/>
      <w:autoSpaceDE w:val="0"/>
      <w:autoSpaceDN w:val="0"/>
      <w:adjustRightInd w:val="0"/>
    </w:pPr>
    <w:rPr>
      <w:rFonts w:ascii="Arial" w:hAnsi="Arial" w:cs="Arial"/>
      <w:szCs w:val="26"/>
    </w:rPr>
  </w:style>
  <w:style w:type="character" w:customStyle="1" w:styleId="apple-converted-space">
    <w:name w:val="apple-converted-space"/>
    <w:basedOn w:val="a0"/>
    <w:rsid w:val="00B732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minzdrav.ru/ministry/61/22/stranitsa-979/stranitsa-983" TargetMode="External"/><Relationship Id="rId5" Type="http://schemas.openxmlformats.org/officeDocument/2006/relationships/hyperlink" Target="http://www.ros-med.info/standart-protocol/index.php?id=236&amp;action=standart-tre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4349</Words>
  <Characters>24793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azat</cp:lastModifiedBy>
  <cp:revision>2</cp:revision>
  <dcterms:created xsi:type="dcterms:W3CDTF">2015-11-03T20:25:00Z</dcterms:created>
  <dcterms:modified xsi:type="dcterms:W3CDTF">2015-11-03T21:08:00Z</dcterms:modified>
</cp:coreProperties>
</file>